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29C" w:rsidRPr="00EC7D13" w:rsidRDefault="00EC7D13" w:rsidP="00EC7D13">
      <w:pPr>
        <w:jc w:val="right"/>
        <w:rPr>
          <w:rFonts w:ascii="Arial" w:hAnsi="Arial" w:cs="Arial"/>
          <w:color w:val="000000" w:themeColor="text1"/>
        </w:rPr>
      </w:pPr>
      <w:bookmarkStart w:id="0" w:name="_GoBack"/>
      <w:r w:rsidRPr="00EC7D13">
        <w:rPr>
          <w:rFonts w:ascii="Arial" w:hAnsi="Arial" w:cs="Arial"/>
          <w:color w:val="000000" w:themeColor="text1"/>
        </w:rPr>
        <w:t>Item 13</w:t>
      </w:r>
      <w:r w:rsidR="00DA59F7" w:rsidRPr="00EC7D13">
        <w:rPr>
          <w:rFonts w:ascii="Arial" w:hAnsi="Arial" w:cs="Arial"/>
          <w:color w:val="000000" w:themeColor="text1"/>
        </w:rPr>
        <w:t xml:space="preserve"> </w:t>
      </w:r>
    </w:p>
    <w:bookmarkEnd w:id="0"/>
    <w:p w:rsidR="0003629C" w:rsidRPr="00DF7322" w:rsidRDefault="0003629C" w:rsidP="0003629C">
      <w:pPr>
        <w:jc w:val="center"/>
        <w:rPr>
          <w:rFonts w:ascii="Book Antiqua" w:hAnsi="Book Antiqua"/>
          <w:b/>
          <w:sz w:val="48"/>
          <w:szCs w:val="20"/>
        </w:rPr>
      </w:pPr>
    </w:p>
    <w:p w:rsidR="0003629C" w:rsidRPr="00DF7322" w:rsidRDefault="0003629C" w:rsidP="0003629C">
      <w:pPr>
        <w:pStyle w:val="BodyText2"/>
        <w:jc w:val="center"/>
        <w:rPr>
          <w:rFonts w:ascii="Book Antiqua" w:hAnsi="Book Antiqua"/>
          <w:b/>
          <w:bCs/>
          <w:sz w:val="44"/>
        </w:rPr>
      </w:pPr>
      <w:r w:rsidRPr="00DF7322">
        <w:rPr>
          <w:rFonts w:ascii="Book Antiqua" w:hAnsi="Book Antiqua"/>
          <w:b/>
          <w:bCs/>
          <w:sz w:val="44"/>
        </w:rPr>
        <w:t>MANSFIELD DISTRICT COUNCIL</w:t>
      </w:r>
    </w:p>
    <w:p w:rsidR="0003629C" w:rsidRPr="00DF7322" w:rsidRDefault="0003629C" w:rsidP="0003629C">
      <w:pPr>
        <w:jc w:val="center"/>
        <w:rPr>
          <w:rFonts w:ascii="Book Antiqua" w:hAnsi="Book Antiqua"/>
          <w:b/>
          <w:sz w:val="48"/>
          <w:szCs w:val="20"/>
        </w:rPr>
      </w:pPr>
    </w:p>
    <w:p w:rsidR="0003629C" w:rsidRPr="00DF7322" w:rsidRDefault="0003629C" w:rsidP="0003629C">
      <w:pPr>
        <w:jc w:val="center"/>
        <w:rPr>
          <w:rFonts w:ascii="Book Antiqua" w:hAnsi="Book Antiqua"/>
          <w:b/>
          <w:sz w:val="48"/>
          <w:szCs w:val="20"/>
        </w:rPr>
      </w:pPr>
    </w:p>
    <w:p w:rsidR="0003629C" w:rsidRPr="00DF7322" w:rsidRDefault="0003629C" w:rsidP="0003629C">
      <w:pPr>
        <w:jc w:val="center"/>
        <w:rPr>
          <w:rFonts w:ascii="Book Antiqua" w:hAnsi="Book Antiqua"/>
          <w:b/>
          <w:sz w:val="48"/>
          <w:szCs w:val="20"/>
        </w:rPr>
      </w:pPr>
      <w:r w:rsidRPr="00DF7322">
        <w:rPr>
          <w:noProof/>
          <w:lang w:eastAsia="en-GB"/>
        </w:rPr>
        <mc:AlternateContent>
          <mc:Choice Requires="wps">
            <w:drawing>
              <wp:anchor distT="0" distB="0" distL="114300" distR="114300" simplePos="0" relativeHeight="251658240" behindDoc="0" locked="0" layoutInCell="0" allowOverlap="1" wp14:anchorId="09C75CEE" wp14:editId="4044DB3F">
                <wp:simplePos x="0" y="0"/>
                <wp:positionH relativeFrom="column">
                  <wp:posOffset>1691640</wp:posOffset>
                </wp:positionH>
                <wp:positionV relativeFrom="paragraph">
                  <wp:posOffset>365760</wp:posOffset>
                </wp:positionV>
                <wp:extent cx="2193290" cy="2101850"/>
                <wp:effectExtent l="0" t="0" r="1651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3290" cy="2101850"/>
                        </a:xfrm>
                        <a:prstGeom prst="rect">
                          <a:avLst/>
                        </a:prstGeom>
                        <a:solidFill>
                          <a:srgbClr val="FFFFFF"/>
                        </a:solidFill>
                        <a:ln w="9525">
                          <a:solidFill>
                            <a:srgbClr val="000000"/>
                          </a:solidFill>
                          <a:miter lim="800000"/>
                          <a:headEnd/>
                          <a:tailEnd/>
                        </a:ln>
                      </wps:spPr>
                      <wps:txbx>
                        <w:txbxContent>
                          <w:p w:rsidR="0003629C" w:rsidRDefault="0003629C" w:rsidP="0003629C">
                            <w:r>
                              <w:rPr>
                                <w:rFonts w:asciiTheme="minorHAnsi" w:eastAsiaTheme="minorHAnsi" w:hAnsiTheme="minorHAnsi" w:cstheme="minorBidi"/>
                                <w:noProof/>
                                <w:sz w:val="20"/>
                                <w:szCs w:val="20"/>
                                <w:lang w:eastAsia="en-GB"/>
                              </w:rPr>
                              <w:drawing>
                                <wp:inline distT="0" distB="0" distL="0" distR="0" wp14:anchorId="27E3FC04" wp14:editId="7047E690">
                                  <wp:extent cx="2009775" cy="2009775"/>
                                  <wp:effectExtent l="0" t="0" r="9525" b="9525"/>
                                  <wp:docPr id="1" name="Picture 1" descr="MDC_C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DC_CR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9775" cy="20097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3.2pt;margin-top:28.8pt;width:172.7pt;height:16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" o:allowincell="f">
                <v:textbox>
                  <w:txbxContent>
                    <w:p w:rsidR="0003629C" w:rsidRDefault="0003629C" w:rsidP="0003629C">
                      <w:r>
                        <w:rPr>
                          <w:rFonts w:asciiTheme="minorHAnsi" w:eastAsiaTheme="minorHAnsi" w:hAnsiTheme="minorHAnsi" w:cstheme="minorBidi"/>
                          <w:noProof/>
                          <w:sz w:val="20"/>
                          <w:szCs w:val="20"/>
                          <w:lang w:eastAsia="en-GB"/>
                        </w:rPr>
                        <w:drawing>
                          <wp:inline distT="0" distB="0" distL="0" distR="0" wp14:anchorId="27E3FC04" wp14:editId="7047E690">
                            <wp:extent cx="2009775" cy="2009775"/>
                            <wp:effectExtent l="0" t="0" r="9525" b="9525"/>
                            <wp:docPr id="1" name="Picture 1" descr="MDC_C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DC_CR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9775" cy="2009775"/>
                                    </a:xfrm>
                                    <a:prstGeom prst="rect">
                                      <a:avLst/>
                                    </a:prstGeom>
                                    <a:noFill/>
                                    <a:ln>
                                      <a:noFill/>
                                    </a:ln>
                                  </pic:spPr>
                                </pic:pic>
                              </a:graphicData>
                            </a:graphic>
                          </wp:inline>
                        </w:drawing>
                      </w:r>
                    </w:p>
                  </w:txbxContent>
                </v:textbox>
              </v:shape>
            </w:pict>
          </mc:Fallback>
        </mc:AlternateContent>
      </w:r>
    </w:p>
    <w:p w:rsidR="0003629C" w:rsidRPr="00DF7322" w:rsidRDefault="0003629C" w:rsidP="0003629C">
      <w:pPr>
        <w:jc w:val="center"/>
        <w:rPr>
          <w:rFonts w:ascii="Book Antiqua" w:hAnsi="Book Antiqua"/>
          <w:b/>
          <w:sz w:val="48"/>
          <w:szCs w:val="20"/>
        </w:rPr>
      </w:pPr>
    </w:p>
    <w:p w:rsidR="0003629C" w:rsidRPr="00DF7322" w:rsidRDefault="0003629C" w:rsidP="0003629C">
      <w:pPr>
        <w:jc w:val="center"/>
        <w:rPr>
          <w:rFonts w:ascii="Book Antiqua" w:hAnsi="Book Antiqua"/>
          <w:b/>
          <w:sz w:val="48"/>
          <w:szCs w:val="20"/>
        </w:rPr>
      </w:pPr>
    </w:p>
    <w:p w:rsidR="0003629C" w:rsidRPr="00DF7322" w:rsidRDefault="0003629C" w:rsidP="0003629C">
      <w:pPr>
        <w:jc w:val="center"/>
        <w:rPr>
          <w:rFonts w:ascii="Book Antiqua" w:hAnsi="Book Antiqua"/>
          <w:b/>
          <w:sz w:val="48"/>
          <w:szCs w:val="20"/>
        </w:rPr>
      </w:pPr>
    </w:p>
    <w:p w:rsidR="0003629C" w:rsidRPr="00DF7322" w:rsidRDefault="0003629C" w:rsidP="0003629C">
      <w:pPr>
        <w:jc w:val="center"/>
        <w:rPr>
          <w:rFonts w:ascii="Book Antiqua" w:hAnsi="Book Antiqua"/>
          <w:b/>
          <w:sz w:val="48"/>
          <w:szCs w:val="20"/>
        </w:rPr>
      </w:pPr>
    </w:p>
    <w:p w:rsidR="0003629C" w:rsidRPr="00DF7322" w:rsidRDefault="0003629C" w:rsidP="0003629C">
      <w:pPr>
        <w:jc w:val="center"/>
        <w:rPr>
          <w:rFonts w:ascii="Book Antiqua" w:hAnsi="Book Antiqua"/>
          <w:b/>
          <w:sz w:val="48"/>
          <w:szCs w:val="20"/>
        </w:rPr>
      </w:pPr>
    </w:p>
    <w:p w:rsidR="0003629C" w:rsidRPr="00DF7322" w:rsidRDefault="0003629C" w:rsidP="0003629C">
      <w:pPr>
        <w:jc w:val="center"/>
        <w:rPr>
          <w:rFonts w:ascii="Book Antiqua" w:hAnsi="Book Antiqua"/>
          <w:b/>
          <w:sz w:val="48"/>
          <w:szCs w:val="20"/>
        </w:rPr>
      </w:pPr>
    </w:p>
    <w:p w:rsidR="0003629C" w:rsidRPr="00DF7322" w:rsidRDefault="0003629C" w:rsidP="0003629C">
      <w:pPr>
        <w:rPr>
          <w:rFonts w:ascii="Book Antiqua" w:hAnsi="Book Antiqua"/>
          <w:szCs w:val="20"/>
        </w:rPr>
      </w:pPr>
    </w:p>
    <w:p w:rsidR="0003629C" w:rsidRPr="00DF7322" w:rsidRDefault="0003629C" w:rsidP="0003629C">
      <w:pPr>
        <w:rPr>
          <w:rFonts w:ascii="Book Antiqua" w:hAnsi="Book Antiqua"/>
          <w:szCs w:val="20"/>
        </w:rPr>
      </w:pPr>
    </w:p>
    <w:p w:rsidR="0003629C" w:rsidRPr="00DF7322" w:rsidRDefault="0003629C" w:rsidP="0003629C">
      <w:pPr>
        <w:pStyle w:val="BodyText2"/>
        <w:rPr>
          <w:rFonts w:ascii="Book Antiqua" w:hAnsi="Book Antiqua"/>
          <w:b/>
          <w:bCs/>
        </w:rPr>
      </w:pPr>
    </w:p>
    <w:p w:rsidR="0003629C" w:rsidRPr="00DF7322" w:rsidRDefault="0003629C" w:rsidP="0003629C">
      <w:pPr>
        <w:pStyle w:val="BodyText2"/>
        <w:jc w:val="center"/>
        <w:rPr>
          <w:rFonts w:ascii="Book Antiqua" w:hAnsi="Book Antiqua"/>
          <w:b/>
          <w:bCs/>
          <w:sz w:val="36"/>
        </w:rPr>
      </w:pPr>
      <w:r w:rsidRPr="00DF7322">
        <w:rPr>
          <w:rFonts w:ascii="Book Antiqua" w:hAnsi="Book Antiqua"/>
          <w:b/>
          <w:bCs/>
          <w:sz w:val="36"/>
        </w:rPr>
        <w:t>ELEVENTH REPORT OF THE INDEPENDENT PANEL APPOINTED TO REVIEW</w:t>
      </w:r>
    </w:p>
    <w:p w:rsidR="0003629C" w:rsidRPr="00DF7322" w:rsidRDefault="0003629C" w:rsidP="0003629C">
      <w:pPr>
        <w:pStyle w:val="BodyText2"/>
        <w:jc w:val="center"/>
        <w:rPr>
          <w:rFonts w:ascii="Book Antiqua" w:hAnsi="Book Antiqua"/>
          <w:b/>
          <w:bCs/>
          <w:sz w:val="36"/>
        </w:rPr>
      </w:pPr>
      <w:r w:rsidRPr="00DF7322">
        <w:rPr>
          <w:rFonts w:ascii="Book Antiqua" w:hAnsi="Book Antiqua"/>
          <w:b/>
          <w:bCs/>
          <w:sz w:val="36"/>
        </w:rPr>
        <w:t>MEMBERS’ ALLOWANCES</w:t>
      </w:r>
    </w:p>
    <w:p w:rsidR="0003629C" w:rsidRPr="00DF7322" w:rsidRDefault="0003629C" w:rsidP="0003629C">
      <w:pPr>
        <w:pStyle w:val="Heading2"/>
        <w:ind w:left="0"/>
        <w:jc w:val="center"/>
        <w:rPr>
          <w:rFonts w:ascii="Book Antiqua" w:hAnsi="Book Antiqua"/>
          <w:sz w:val="36"/>
        </w:rPr>
      </w:pPr>
    </w:p>
    <w:p w:rsidR="0003629C" w:rsidRPr="00DF7322" w:rsidRDefault="0003629C" w:rsidP="0003629C">
      <w:pPr>
        <w:rPr>
          <w:rFonts w:ascii="Book Antiqua" w:hAnsi="Book Antiqua"/>
        </w:rPr>
      </w:pPr>
    </w:p>
    <w:p w:rsidR="0003629C" w:rsidRPr="00DF7322" w:rsidRDefault="0003629C" w:rsidP="0003629C">
      <w:pPr>
        <w:rPr>
          <w:rFonts w:ascii="Book Antiqua" w:hAnsi="Book Antiqua"/>
        </w:rPr>
      </w:pPr>
    </w:p>
    <w:p w:rsidR="0003629C" w:rsidRPr="00DF7322" w:rsidRDefault="0003629C" w:rsidP="0003629C">
      <w:pPr>
        <w:rPr>
          <w:rFonts w:ascii="Book Antiqua" w:hAnsi="Book Antiqua"/>
        </w:rPr>
      </w:pPr>
    </w:p>
    <w:p w:rsidR="0003629C" w:rsidRPr="00DF7322" w:rsidRDefault="0003629C" w:rsidP="0003629C">
      <w:pPr>
        <w:rPr>
          <w:rFonts w:ascii="Book Antiqua" w:hAnsi="Book Antiqua"/>
        </w:rPr>
      </w:pPr>
    </w:p>
    <w:p w:rsidR="0003629C" w:rsidRPr="00DF7322" w:rsidRDefault="0003629C" w:rsidP="0003629C">
      <w:pPr>
        <w:rPr>
          <w:rFonts w:ascii="Book Antiqua" w:hAnsi="Book Antiqua"/>
        </w:rPr>
      </w:pPr>
    </w:p>
    <w:p w:rsidR="0003629C" w:rsidRPr="00DF7322" w:rsidRDefault="0003629C" w:rsidP="0003629C">
      <w:pPr>
        <w:rPr>
          <w:rFonts w:ascii="Book Antiqua" w:hAnsi="Book Antiqua"/>
        </w:rPr>
      </w:pPr>
    </w:p>
    <w:p w:rsidR="0003629C" w:rsidRPr="00DF7322" w:rsidRDefault="0003629C" w:rsidP="0003629C">
      <w:pPr>
        <w:pStyle w:val="Heading7"/>
        <w:rPr>
          <w:rFonts w:ascii="Book Antiqua" w:hAnsi="Book Antiqua"/>
          <w:b/>
          <w:bCs/>
          <w:sz w:val="28"/>
          <w:u w:val="none"/>
        </w:rPr>
      </w:pPr>
      <w:r w:rsidRPr="00DF7322">
        <w:rPr>
          <w:rFonts w:ascii="Book Antiqua" w:hAnsi="Book Antiqua"/>
          <w:b/>
          <w:bCs/>
          <w:sz w:val="28"/>
          <w:u w:val="none"/>
        </w:rPr>
        <w:t>Sir Rodney Brooke CBE DL</w:t>
      </w:r>
    </w:p>
    <w:p w:rsidR="0003629C" w:rsidRPr="00DF7322" w:rsidRDefault="0003629C" w:rsidP="0003629C">
      <w:pPr>
        <w:rPr>
          <w:rFonts w:ascii="Book Antiqua" w:hAnsi="Book Antiqua"/>
          <w:b/>
          <w:bCs/>
          <w:sz w:val="28"/>
        </w:rPr>
      </w:pPr>
      <w:r w:rsidRPr="00DF7322">
        <w:rPr>
          <w:rFonts w:ascii="Book Antiqua" w:hAnsi="Book Antiqua"/>
          <w:b/>
          <w:bCs/>
          <w:sz w:val="28"/>
        </w:rPr>
        <w:t>Dr Declan Hall</w:t>
      </w:r>
    </w:p>
    <w:p w:rsidR="0003629C" w:rsidRPr="00DF7322" w:rsidRDefault="0003629C" w:rsidP="0003629C">
      <w:pPr>
        <w:rPr>
          <w:rFonts w:ascii="Book Antiqua" w:hAnsi="Book Antiqua"/>
          <w:b/>
          <w:bCs/>
          <w:sz w:val="28"/>
        </w:rPr>
      </w:pPr>
      <w:r w:rsidRPr="00DF7322">
        <w:rPr>
          <w:rFonts w:ascii="Book Antiqua" w:hAnsi="Book Antiqua"/>
          <w:b/>
          <w:bCs/>
          <w:sz w:val="28"/>
        </w:rPr>
        <w:t xml:space="preserve">Ms </w:t>
      </w:r>
      <w:proofErr w:type="spellStart"/>
      <w:r w:rsidRPr="00DF7322">
        <w:rPr>
          <w:rFonts w:ascii="Book Antiqua" w:hAnsi="Book Antiqua"/>
          <w:b/>
          <w:bCs/>
          <w:sz w:val="28"/>
        </w:rPr>
        <w:t>Madi</w:t>
      </w:r>
      <w:proofErr w:type="spellEnd"/>
      <w:r w:rsidRPr="00DF7322">
        <w:rPr>
          <w:rFonts w:ascii="Book Antiqua" w:hAnsi="Book Antiqua"/>
          <w:b/>
          <w:bCs/>
          <w:sz w:val="28"/>
        </w:rPr>
        <w:t xml:space="preserve"> Sharma</w:t>
      </w:r>
    </w:p>
    <w:p w:rsidR="0003629C" w:rsidRPr="00DF7322" w:rsidRDefault="002248B6" w:rsidP="0003629C">
      <w:pPr>
        <w:rPr>
          <w:rFonts w:ascii="Book Antiqua" w:hAnsi="Book Antiqua"/>
          <w:b/>
          <w:bCs/>
          <w:sz w:val="28"/>
        </w:rPr>
      </w:pPr>
      <w:r>
        <w:rPr>
          <w:rFonts w:ascii="Book Antiqua" w:hAnsi="Book Antiqua"/>
          <w:b/>
          <w:bCs/>
          <w:sz w:val="28"/>
        </w:rPr>
        <w:t>February</w:t>
      </w:r>
      <w:r w:rsidR="0003629C" w:rsidRPr="00DF7322">
        <w:rPr>
          <w:rFonts w:ascii="Book Antiqua" w:hAnsi="Book Antiqua"/>
          <w:b/>
          <w:bCs/>
          <w:sz w:val="28"/>
        </w:rPr>
        <w:t xml:space="preserve"> 2019</w:t>
      </w:r>
    </w:p>
    <w:p w:rsidR="0003629C" w:rsidRPr="00DF7322" w:rsidRDefault="0003629C" w:rsidP="0003629C">
      <w:pPr>
        <w:rPr>
          <w:rFonts w:ascii="Book Antiqua" w:hAnsi="Book Antiqua"/>
        </w:rPr>
      </w:pPr>
    </w:p>
    <w:p w:rsidR="0003629C" w:rsidRPr="00DF7322" w:rsidRDefault="0003629C" w:rsidP="0003629C">
      <w:pPr>
        <w:rPr>
          <w:rFonts w:ascii="Book Antiqua" w:hAnsi="Book Antiqua"/>
        </w:rPr>
      </w:pPr>
    </w:p>
    <w:p w:rsidR="0003629C" w:rsidRPr="00DF7322" w:rsidRDefault="0003629C" w:rsidP="0003629C">
      <w:pPr>
        <w:rPr>
          <w:rFonts w:ascii="Book Antiqua" w:hAnsi="Book Antiqua"/>
        </w:rPr>
      </w:pPr>
    </w:p>
    <w:p w:rsidR="0003629C" w:rsidRPr="00DF7322" w:rsidRDefault="0003629C" w:rsidP="0003629C">
      <w:pPr>
        <w:rPr>
          <w:rFonts w:ascii="Book Antiqua" w:hAnsi="Book Antiqua"/>
        </w:rPr>
      </w:pPr>
    </w:p>
    <w:p w:rsidR="0003629C" w:rsidRPr="00DF7322" w:rsidRDefault="0003629C" w:rsidP="0003629C">
      <w:pPr>
        <w:pStyle w:val="Heading2"/>
        <w:ind w:left="0"/>
        <w:jc w:val="left"/>
        <w:rPr>
          <w:rFonts w:ascii="Book Antiqua" w:hAnsi="Book Antiqua"/>
          <w:sz w:val="24"/>
        </w:rPr>
      </w:pPr>
    </w:p>
    <w:p w:rsidR="0003629C" w:rsidRPr="00C34514" w:rsidRDefault="0003629C" w:rsidP="0003629C">
      <w:pPr>
        <w:pStyle w:val="Heading2"/>
        <w:jc w:val="left"/>
        <w:rPr>
          <w:rFonts w:ascii="Book Antiqua" w:hAnsi="Book Antiqua"/>
          <w:sz w:val="24"/>
        </w:rPr>
      </w:pPr>
      <w:r w:rsidRPr="00C34514">
        <w:rPr>
          <w:rFonts w:ascii="Book Antiqua" w:hAnsi="Book Antiqua"/>
          <w:sz w:val="24"/>
        </w:rPr>
        <w:t>Introduction</w:t>
      </w:r>
    </w:p>
    <w:p w:rsidR="0003629C" w:rsidRPr="00C34514" w:rsidRDefault="0003629C" w:rsidP="0003629C">
      <w:pPr>
        <w:rPr>
          <w:rFonts w:ascii="Book Antiqua" w:hAnsi="Book Antiqua"/>
        </w:rPr>
      </w:pPr>
    </w:p>
    <w:p w:rsidR="0003629C" w:rsidRPr="00C34514" w:rsidRDefault="0003629C" w:rsidP="0003629C">
      <w:pPr>
        <w:pStyle w:val="BodyText2"/>
        <w:numPr>
          <w:ilvl w:val="0"/>
          <w:numId w:val="1"/>
        </w:numPr>
        <w:rPr>
          <w:rFonts w:ascii="Book Antiqua" w:hAnsi="Book Antiqua"/>
          <w:sz w:val="24"/>
        </w:rPr>
      </w:pPr>
      <w:r w:rsidRPr="00C34514">
        <w:rPr>
          <w:rFonts w:ascii="Book Antiqua" w:hAnsi="Book Antiqua"/>
          <w:sz w:val="24"/>
        </w:rPr>
        <w:t xml:space="preserve">Following the Local Government Act 2000, Mansfield District Council appointed an Independent Panel to review members’ allowances, in accordance with the Government’s guidance. The Panel now comprises Sir Rodney Brooke, a former County and City Chief Executive; Dr Declan Hall, a former local government academic specialising in members’ allowances, support and roles; and Ms </w:t>
      </w:r>
      <w:proofErr w:type="spellStart"/>
      <w:r w:rsidRPr="00C34514">
        <w:rPr>
          <w:rFonts w:ascii="Book Antiqua" w:hAnsi="Book Antiqua"/>
          <w:sz w:val="24"/>
        </w:rPr>
        <w:t>Madi</w:t>
      </w:r>
      <w:proofErr w:type="spellEnd"/>
      <w:r w:rsidRPr="00C34514">
        <w:rPr>
          <w:rFonts w:ascii="Book Antiqua" w:hAnsi="Book Antiqua"/>
          <w:sz w:val="24"/>
        </w:rPr>
        <w:t xml:space="preserve"> Sharma, a private sector manager who also sits on various Government and European Union bodies.</w:t>
      </w:r>
    </w:p>
    <w:p w:rsidR="0003629C" w:rsidRPr="00C34514" w:rsidRDefault="0003629C" w:rsidP="0003629C">
      <w:pPr>
        <w:pStyle w:val="BodyText2"/>
        <w:rPr>
          <w:rFonts w:ascii="Book Antiqua" w:hAnsi="Book Antiqua"/>
          <w:sz w:val="24"/>
        </w:rPr>
      </w:pPr>
    </w:p>
    <w:p w:rsidR="00B67DE7" w:rsidRPr="00B27830" w:rsidRDefault="00B67DE7" w:rsidP="00B67DE7">
      <w:pPr>
        <w:pStyle w:val="BodyText2"/>
        <w:ind w:left="720"/>
        <w:jc w:val="both"/>
        <w:rPr>
          <w:rFonts w:ascii="Book Antiqua" w:hAnsi="Book Antiqua"/>
        </w:rPr>
      </w:pPr>
      <w:r>
        <w:rPr>
          <w:rFonts w:ascii="Book Antiqua" w:hAnsi="Book Antiqua"/>
          <w:sz w:val="24"/>
        </w:rPr>
        <w:t xml:space="preserve">2. </w:t>
      </w:r>
      <w:r w:rsidR="0003629C" w:rsidRPr="00B67DE7">
        <w:rPr>
          <w:rFonts w:ascii="Book Antiqua" w:hAnsi="Book Antiqua"/>
          <w:sz w:val="24"/>
        </w:rPr>
        <w:t xml:space="preserve">Regulations on Members’ Allowances are contained in the Local Authorities (Members’ Allowances) (England) Regulations 2003. The Panel makes its recommendations in accordance with these Regulations. One of the prime requirements of the 2003 Regulations is for the Council to pay regard to the recommendations of its statutory Members’ Allowances Panel before it amends or changes its allowances scheme. The Panel last reviewed the scheme in October 2014. The Council accepted the recommendations of the </w:t>
      </w:r>
      <w:r w:rsidR="0003629C" w:rsidRPr="00B27830">
        <w:rPr>
          <w:rFonts w:ascii="Book Antiqua" w:hAnsi="Book Antiqua"/>
          <w:sz w:val="24"/>
        </w:rPr>
        <w:t xml:space="preserve">Panel with the exception of the recommendation on reimbursement of IT expenses. </w:t>
      </w:r>
    </w:p>
    <w:p w:rsidR="00B67DE7" w:rsidRPr="00B27830" w:rsidRDefault="00B67DE7" w:rsidP="00B67DE7">
      <w:pPr>
        <w:pStyle w:val="ListParagraph"/>
        <w:jc w:val="both"/>
        <w:rPr>
          <w:rFonts w:ascii="Book Antiqua" w:hAnsi="Book Antiqua"/>
        </w:rPr>
      </w:pPr>
    </w:p>
    <w:p w:rsidR="00B67DE7" w:rsidRPr="00B27830" w:rsidRDefault="00B67DE7" w:rsidP="00B67DE7">
      <w:pPr>
        <w:pStyle w:val="BodyText2"/>
        <w:numPr>
          <w:ilvl w:val="0"/>
          <w:numId w:val="5"/>
        </w:numPr>
        <w:rPr>
          <w:rFonts w:ascii="Book Antiqua" w:hAnsi="Book Antiqua"/>
          <w:sz w:val="24"/>
        </w:rPr>
      </w:pPr>
      <w:r w:rsidRPr="00B27830">
        <w:rPr>
          <w:rFonts w:ascii="Book Antiqua" w:hAnsi="Book Antiqua"/>
          <w:sz w:val="24"/>
        </w:rPr>
        <w:t>The Panel has been informed that it is the practice of Mansfield District Council to convene an Independent Remuneration Panel at least every 4 years, regardless of whether indexation forms part of the members’ allowances scheme</w:t>
      </w:r>
    </w:p>
    <w:p w:rsidR="00EC70D8" w:rsidRPr="00B27830" w:rsidRDefault="00EC70D8" w:rsidP="00EC70D8">
      <w:pPr>
        <w:pStyle w:val="ListParagraph"/>
        <w:rPr>
          <w:rFonts w:ascii="Book Antiqua" w:hAnsi="Book Antiqua"/>
        </w:rPr>
      </w:pPr>
    </w:p>
    <w:p w:rsidR="0003629C" w:rsidRPr="00B27830" w:rsidRDefault="00EC70D8" w:rsidP="00B67DE7">
      <w:pPr>
        <w:pStyle w:val="BodyText2"/>
        <w:numPr>
          <w:ilvl w:val="0"/>
          <w:numId w:val="5"/>
        </w:numPr>
        <w:rPr>
          <w:rFonts w:ascii="Book Antiqua" w:hAnsi="Book Antiqua"/>
          <w:sz w:val="24"/>
        </w:rPr>
      </w:pPr>
      <w:r w:rsidRPr="00B27830">
        <w:rPr>
          <w:rFonts w:ascii="Book Antiqua" w:hAnsi="Book Antiqua"/>
          <w:sz w:val="24"/>
        </w:rPr>
        <w:t>The Panel has also had regard to the new Council Constitutions</w:t>
      </w:r>
      <w:r w:rsidR="00C127C1">
        <w:rPr>
          <w:rFonts w:ascii="Book Antiqua" w:hAnsi="Book Antiqua"/>
          <w:sz w:val="24"/>
        </w:rPr>
        <w:t>:</w:t>
      </w:r>
      <w:r w:rsidRPr="00B27830">
        <w:rPr>
          <w:rFonts w:ascii="Book Antiqua" w:hAnsi="Book Antiqua"/>
          <w:sz w:val="24"/>
        </w:rPr>
        <w:t xml:space="preserve"> Guidance on Regulations for Local Authority Allowances May 2006. This is statutory guidance which all local authorities must take into account when reviewing allowances and agreeing a new scheme of allowances respectively.</w:t>
      </w:r>
    </w:p>
    <w:p w:rsidR="00EC70D8" w:rsidRPr="00B27830" w:rsidRDefault="00EC70D8" w:rsidP="00EC70D8">
      <w:pPr>
        <w:pStyle w:val="ListParagraph"/>
        <w:rPr>
          <w:rFonts w:ascii="Book Antiqua" w:hAnsi="Book Antiqua"/>
        </w:rPr>
      </w:pPr>
    </w:p>
    <w:p w:rsidR="0003629C" w:rsidRPr="00B27830" w:rsidRDefault="00EC70D8" w:rsidP="00B67DE7">
      <w:pPr>
        <w:pStyle w:val="BodyText2"/>
        <w:numPr>
          <w:ilvl w:val="0"/>
          <w:numId w:val="5"/>
        </w:numPr>
        <w:rPr>
          <w:rFonts w:ascii="Book Antiqua" w:hAnsi="Book Antiqua"/>
          <w:sz w:val="24"/>
        </w:rPr>
      </w:pPr>
      <w:r w:rsidRPr="00B27830">
        <w:rPr>
          <w:rFonts w:ascii="Book Antiqua" w:hAnsi="Book Antiqua"/>
          <w:sz w:val="24"/>
        </w:rPr>
        <w:t xml:space="preserve">The Panel last reviewed the scheme in October 2014. The Council accepted the recommendations of the Panel with the exception of the recommendation on reimbursement of IT expenses. </w:t>
      </w:r>
      <w:r w:rsidR="00220B41" w:rsidRPr="00B27830">
        <w:rPr>
          <w:rFonts w:ascii="Book Antiqua" w:hAnsi="Book Antiqua"/>
          <w:sz w:val="24"/>
          <w:lang w:val="en"/>
        </w:rPr>
        <w:t>Where an authority has regard to an index for the purpose of annual adjustment of allowances it must not rely on that index for longer than a period of four years before seeking a further recommendation from the independent remuneration panel.</w:t>
      </w:r>
    </w:p>
    <w:p w:rsidR="00220B41" w:rsidRPr="00B27830" w:rsidRDefault="00220B41" w:rsidP="00220B41">
      <w:pPr>
        <w:pStyle w:val="BodyText2"/>
        <w:rPr>
          <w:rFonts w:ascii="Book Antiqua" w:hAnsi="Book Antiqua"/>
          <w:sz w:val="24"/>
        </w:rPr>
      </w:pPr>
    </w:p>
    <w:p w:rsidR="0003629C" w:rsidRPr="00C34514" w:rsidRDefault="0003629C" w:rsidP="00B67DE7">
      <w:pPr>
        <w:pStyle w:val="BodyText2"/>
        <w:numPr>
          <w:ilvl w:val="0"/>
          <w:numId w:val="5"/>
        </w:numPr>
        <w:rPr>
          <w:rFonts w:ascii="Book Antiqua" w:hAnsi="Book Antiqua"/>
          <w:sz w:val="24"/>
        </w:rPr>
      </w:pPr>
      <w:r w:rsidRPr="00C34514">
        <w:rPr>
          <w:rFonts w:ascii="Book Antiqua" w:hAnsi="Book Antiqua"/>
          <w:sz w:val="24"/>
        </w:rPr>
        <w:t xml:space="preserve">In our previous reports the Panel has pointed out that the quality of local democracy and the effectiveness of the services provided by the Council depend on the ability of the Council to enable a wide range of people to serve as councillors. While financial reward is not and should not be the main motivation for service as a councillor, the time demands made on councillors require the payment of reasonable remuneration if able or capable or talented people are enabled to serve as councillors. The demands made on councillors continue to expand, as does the time commitment expected of them. There is </w:t>
      </w:r>
      <w:r w:rsidRPr="00C34514">
        <w:rPr>
          <w:rFonts w:ascii="Book Antiqua" w:hAnsi="Book Antiqua"/>
          <w:sz w:val="24"/>
        </w:rPr>
        <w:lastRenderedPageBreak/>
        <w:t xml:space="preserve">more partnership working. Elected members must find different ways of engaging with the communities they represent. They must consciously act as community champions. The internet has greatly increased not only the accessibility of councillors but also the pressures upon them. A more demanding electorate expects immediate responses from its councillors. It is very important for the future of Mansfield that it is able to attract talented, committed and industrious councillors who are prepared and able to commit a substantial part of their energy and time to the work of the Council. </w:t>
      </w:r>
    </w:p>
    <w:p w:rsidR="0003629C" w:rsidRPr="00C34514" w:rsidRDefault="0003629C" w:rsidP="0003629C">
      <w:pPr>
        <w:pStyle w:val="BodyText2"/>
        <w:ind w:left="720"/>
        <w:rPr>
          <w:rFonts w:ascii="Book Antiqua" w:hAnsi="Book Antiqua"/>
          <w:sz w:val="24"/>
        </w:rPr>
      </w:pPr>
    </w:p>
    <w:p w:rsidR="0003629C" w:rsidRPr="00C34514" w:rsidRDefault="0003629C" w:rsidP="00B67DE7">
      <w:pPr>
        <w:pStyle w:val="BodyText2"/>
        <w:numPr>
          <w:ilvl w:val="0"/>
          <w:numId w:val="5"/>
        </w:numPr>
        <w:rPr>
          <w:rFonts w:ascii="Book Antiqua" w:hAnsi="Book Antiqua"/>
          <w:sz w:val="24"/>
        </w:rPr>
      </w:pPr>
      <w:r w:rsidRPr="00C34514">
        <w:rPr>
          <w:rFonts w:ascii="Book Antiqua" w:hAnsi="Book Antiqua"/>
          <w:sz w:val="24"/>
        </w:rPr>
        <w:t xml:space="preserve">While recognising the pressures on councillors, </w:t>
      </w:r>
      <w:r w:rsidR="00B27830">
        <w:rPr>
          <w:rFonts w:ascii="Book Antiqua" w:hAnsi="Book Antiqua"/>
          <w:sz w:val="24"/>
        </w:rPr>
        <w:t>the Panel is</w:t>
      </w:r>
      <w:r w:rsidRPr="00C34514">
        <w:rPr>
          <w:rFonts w:ascii="Book Antiqua" w:hAnsi="Book Antiqua"/>
          <w:sz w:val="24"/>
        </w:rPr>
        <w:t xml:space="preserve"> acutely conscious of the present strains on public funds. Though the work of councillors constantly expands, </w:t>
      </w:r>
      <w:r w:rsidR="00B27830">
        <w:rPr>
          <w:rFonts w:ascii="Book Antiqua" w:hAnsi="Book Antiqua"/>
          <w:sz w:val="24"/>
        </w:rPr>
        <w:t>the Panel</w:t>
      </w:r>
      <w:r w:rsidRPr="00C34514">
        <w:rPr>
          <w:rFonts w:ascii="Book Antiqua" w:hAnsi="Book Antiqua"/>
          <w:sz w:val="24"/>
        </w:rPr>
        <w:t xml:space="preserve"> recognise</w:t>
      </w:r>
      <w:r w:rsidR="00B27830">
        <w:rPr>
          <w:rFonts w:ascii="Book Antiqua" w:hAnsi="Book Antiqua"/>
          <w:sz w:val="24"/>
        </w:rPr>
        <w:t>s</w:t>
      </w:r>
      <w:r w:rsidRPr="00C34514">
        <w:rPr>
          <w:rFonts w:ascii="Book Antiqua" w:hAnsi="Book Antiqua"/>
          <w:sz w:val="24"/>
        </w:rPr>
        <w:t xml:space="preserve"> the need for the same discipline to be applied to councillors’ allowances as the Council has to apply in its other spending commitments. Having regard to the budgetary situation, in our 2014 report </w:t>
      </w:r>
      <w:r w:rsidR="00B27830">
        <w:rPr>
          <w:rFonts w:ascii="Book Antiqua" w:hAnsi="Book Antiqua"/>
          <w:sz w:val="24"/>
        </w:rPr>
        <w:t>the Panel</w:t>
      </w:r>
      <w:r w:rsidRPr="00C34514">
        <w:rPr>
          <w:rFonts w:ascii="Book Antiqua" w:hAnsi="Book Antiqua"/>
          <w:sz w:val="24"/>
        </w:rPr>
        <w:t xml:space="preserve"> recommended that special responsibility allowances be frozen at their then level. The Council accepted that recommendation. There have been no increases to reflect increases in costs of living since then. We continue to be in the middle of a period of acute financial stringency. That financial stringency will continue into the foreseeable future</w:t>
      </w:r>
      <w:r w:rsidR="00DA59F7" w:rsidRPr="00C34514">
        <w:rPr>
          <w:rFonts w:ascii="Book Antiqua" w:hAnsi="Book Antiqua"/>
          <w:sz w:val="24"/>
        </w:rPr>
        <w:t xml:space="preserve">: the Council </w:t>
      </w:r>
      <w:r w:rsidR="00EC70D8">
        <w:rPr>
          <w:rFonts w:ascii="Book Antiqua" w:hAnsi="Book Antiqua"/>
          <w:sz w:val="24"/>
        </w:rPr>
        <w:t>will need to find substantial savings over the next three years</w:t>
      </w:r>
      <w:r w:rsidR="00DA59F7" w:rsidRPr="00C34514">
        <w:rPr>
          <w:rFonts w:ascii="Book Antiqua" w:hAnsi="Book Antiqua"/>
          <w:sz w:val="24"/>
        </w:rPr>
        <w:t>.</w:t>
      </w:r>
      <w:r w:rsidRPr="00C34514">
        <w:rPr>
          <w:rFonts w:ascii="Book Antiqua" w:hAnsi="Book Antiqua"/>
          <w:sz w:val="24"/>
        </w:rPr>
        <w:t xml:space="preserve"> In such a situation councillors’ allowances cannot expect to be exempt from scrutiny.</w:t>
      </w:r>
    </w:p>
    <w:p w:rsidR="00DA59F7" w:rsidRPr="00C34514" w:rsidRDefault="00DA59F7" w:rsidP="00DA59F7">
      <w:pPr>
        <w:pStyle w:val="BodyText2"/>
        <w:rPr>
          <w:rFonts w:ascii="Book Antiqua" w:hAnsi="Book Antiqua"/>
          <w:sz w:val="24"/>
        </w:rPr>
      </w:pPr>
    </w:p>
    <w:p w:rsidR="00DA59F7" w:rsidRPr="00C34514" w:rsidRDefault="00DA59F7" w:rsidP="00B67DE7">
      <w:pPr>
        <w:pStyle w:val="BodyText2"/>
        <w:numPr>
          <w:ilvl w:val="0"/>
          <w:numId w:val="5"/>
        </w:numPr>
        <w:rPr>
          <w:rFonts w:ascii="Book Antiqua" w:hAnsi="Book Antiqua"/>
          <w:sz w:val="24"/>
        </w:rPr>
      </w:pPr>
      <w:r w:rsidRPr="00C34514">
        <w:rPr>
          <w:rFonts w:ascii="Book Antiqua" w:hAnsi="Book Antiqua"/>
          <w:sz w:val="24"/>
        </w:rPr>
        <w:t>The Council is unusual in having an elected mayor. It is also unusual in that the party with the greatest number of members is not represented on the Council’s Cabinet. The Panel’s recommendations are, of course, geared to this system of governance. The different system of governance should be borne in mind when comparing Mansfield members’ allowances with those of other local authorities.</w:t>
      </w:r>
    </w:p>
    <w:p w:rsidR="0003629C" w:rsidRPr="00C34514" w:rsidRDefault="0003629C" w:rsidP="0003629C">
      <w:pPr>
        <w:rPr>
          <w:rFonts w:ascii="Book Antiqua" w:hAnsi="Book Antiqua"/>
        </w:rPr>
      </w:pPr>
    </w:p>
    <w:p w:rsidR="00EC70D8" w:rsidRDefault="0003629C" w:rsidP="00B67DE7">
      <w:pPr>
        <w:pStyle w:val="BodyText2"/>
        <w:numPr>
          <w:ilvl w:val="0"/>
          <w:numId w:val="5"/>
        </w:numPr>
        <w:ind w:left="360"/>
        <w:rPr>
          <w:rFonts w:ascii="Book Antiqua" w:hAnsi="Book Antiqua"/>
          <w:sz w:val="24"/>
        </w:rPr>
      </w:pPr>
      <w:r w:rsidRPr="00C34514">
        <w:rPr>
          <w:rFonts w:ascii="Book Antiqua" w:hAnsi="Book Antiqua"/>
          <w:sz w:val="24"/>
        </w:rPr>
        <w:t xml:space="preserve">In considering its recommendations, the Panel met </w:t>
      </w:r>
    </w:p>
    <w:p w:rsidR="00EC70D8" w:rsidRDefault="00EC70D8" w:rsidP="00EC70D8">
      <w:pPr>
        <w:pStyle w:val="ListParagraph"/>
        <w:rPr>
          <w:rFonts w:ascii="Book Antiqua" w:hAnsi="Book Antiqua"/>
        </w:rPr>
      </w:pPr>
    </w:p>
    <w:p w:rsidR="00EC70D8" w:rsidRDefault="0003629C" w:rsidP="00EC70D8">
      <w:pPr>
        <w:pStyle w:val="BodyText2"/>
        <w:numPr>
          <w:ilvl w:val="0"/>
          <w:numId w:val="3"/>
        </w:numPr>
        <w:rPr>
          <w:rFonts w:ascii="Book Antiqua" w:hAnsi="Book Antiqua"/>
          <w:sz w:val="24"/>
        </w:rPr>
      </w:pPr>
      <w:r w:rsidRPr="00C34514">
        <w:rPr>
          <w:rFonts w:ascii="Book Antiqua" w:hAnsi="Book Antiqua"/>
          <w:sz w:val="24"/>
        </w:rPr>
        <w:t>M</w:t>
      </w:r>
      <w:r w:rsidR="00C127C1">
        <w:rPr>
          <w:rFonts w:ascii="Book Antiqua" w:hAnsi="Book Antiqua"/>
          <w:sz w:val="24"/>
        </w:rPr>
        <w:t>r</w:t>
      </w:r>
      <w:r w:rsidRPr="00C34514">
        <w:rPr>
          <w:rFonts w:ascii="Book Antiqua" w:hAnsi="Book Antiqua"/>
          <w:sz w:val="24"/>
        </w:rPr>
        <w:t xml:space="preserve">s Kate Allsop, (the Executive Mayor); </w:t>
      </w:r>
    </w:p>
    <w:p w:rsidR="00EC70D8" w:rsidRDefault="0003629C" w:rsidP="00EC70D8">
      <w:pPr>
        <w:pStyle w:val="BodyText2"/>
        <w:numPr>
          <w:ilvl w:val="0"/>
          <w:numId w:val="3"/>
        </w:numPr>
        <w:rPr>
          <w:rFonts w:ascii="Book Antiqua" w:hAnsi="Book Antiqua"/>
          <w:sz w:val="24"/>
        </w:rPr>
      </w:pPr>
      <w:r w:rsidRPr="00C34514">
        <w:rPr>
          <w:rFonts w:ascii="Book Antiqua" w:hAnsi="Book Antiqua"/>
          <w:sz w:val="24"/>
        </w:rPr>
        <w:t xml:space="preserve">Councillor Sonya Ward (Leader of the Labour Group); </w:t>
      </w:r>
    </w:p>
    <w:p w:rsidR="00EC70D8" w:rsidRDefault="0003629C" w:rsidP="00EC70D8">
      <w:pPr>
        <w:pStyle w:val="BodyText2"/>
        <w:numPr>
          <w:ilvl w:val="0"/>
          <w:numId w:val="3"/>
        </w:numPr>
        <w:rPr>
          <w:rFonts w:ascii="Book Antiqua" w:hAnsi="Book Antiqua"/>
          <w:sz w:val="24"/>
        </w:rPr>
      </w:pPr>
      <w:r w:rsidRPr="00C34514">
        <w:rPr>
          <w:rFonts w:ascii="Book Antiqua" w:hAnsi="Book Antiqua"/>
          <w:sz w:val="24"/>
        </w:rPr>
        <w:t>Councillor Mick Barton (Deputy</w:t>
      </w:r>
      <w:r w:rsidR="00220B41">
        <w:rPr>
          <w:rFonts w:ascii="Book Antiqua" w:hAnsi="Book Antiqua"/>
          <w:sz w:val="24"/>
        </w:rPr>
        <w:t xml:space="preserve"> Mayor and Deputy</w:t>
      </w:r>
      <w:r w:rsidRPr="00C34514">
        <w:rPr>
          <w:rFonts w:ascii="Book Antiqua" w:hAnsi="Book Antiqua"/>
          <w:sz w:val="24"/>
        </w:rPr>
        <w:t xml:space="preserve"> Leader of the Mansfield Independent Forum); </w:t>
      </w:r>
    </w:p>
    <w:p w:rsidR="00EC70D8" w:rsidRDefault="0003629C" w:rsidP="00EC70D8">
      <w:pPr>
        <w:pStyle w:val="BodyText2"/>
        <w:numPr>
          <w:ilvl w:val="0"/>
          <w:numId w:val="3"/>
        </w:numPr>
        <w:rPr>
          <w:rFonts w:ascii="Book Antiqua" w:hAnsi="Book Antiqua"/>
          <w:sz w:val="24"/>
        </w:rPr>
      </w:pPr>
      <w:r w:rsidRPr="00C34514">
        <w:rPr>
          <w:rFonts w:ascii="Book Antiqua" w:hAnsi="Book Antiqua"/>
          <w:sz w:val="24"/>
        </w:rPr>
        <w:t xml:space="preserve">Councillor Sid Walker (Chairman of the Licensing Committee); </w:t>
      </w:r>
    </w:p>
    <w:p w:rsidR="00EC70D8" w:rsidRDefault="0003629C" w:rsidP="00EC70D8">
      <w:pPr>
        <w:pStyle w:val="BodyText2"/>
        <w:numPr>
          <w:ilvl w:val="0"/>
          <w:numId w:val="3"/>
        </w:numPr>
        <w:rPr>
          <w:rFonts w:ascii="Book Antiqua" w:hAnsi="Book Antiqua"/>
          <w:sz w:val="24"/>
        </w:rPr>
      </w:pPr>
      <w:r w:rsidRPr="00C34514">
        <w:rPr>
          <w:rFonts w:ascii="Book Antiqua" w:hAnsi="Book Antiqua"/>
          <w:sz w:val="24"/>
        </w:rPr>
        <w:t xml:space="preserve">Councillor Steve Garner (Leader of the Mansfield South Independent </w:t>
      </w:r>
      <w:r w:rsidR="00220B41">
        <w:rPr>
          <w:rFonts w:ascii="Book Antiqua" w:hAnsi="Book Antiqua"/>
          <w:sz w:val="24"/>
        </w:rPr>
        <w:t>Group</w:t>
      </w:r>
      <w:r w:rsidRPr="00C34514">
        <w:rPr>
          <w:rFonts w:ascii="Book Antiqua" w:hAnsi="Book Antiqua"/>
          <w:sz w:val="24"/>
        </w:rPr>
        <w:t>);</w:t>
      </w:r>
    </w:p>
    <w:p w:rsidR="00EC70D8" w:rsidRDefault="00DA59F7" w:rsidP="00EC70D8">
      <w:pPr>
        <w:pStyle w:val="BodyText2"/>
        <w:numPr>
          <w:ilvl w:val="0"/>
          <w:numId w:val="3"/>
        </w:numPr>
        <w:rPr>
          <w:rFonts w:ascii="Book Antiqua" w:hAnsi="Book Antiqua"/>
          <w:sz w:val="24"/>
        </w:rPr>
      </w:pPr>
      <w:r w:rsidRPr="00C34514">
        <w:rPr>
          <w:rFonts w:ascii="Book Antiqua" w:hAnsi="Book Antiqua"/>
          <w:sz w:val="24"/>
        </w:rPr>
        <w:t xml:space="preserve">Councillor Kevin Brown (Chairman of the Planning </w:t>
      </w:r>
      <w:r w:rsidR="00220B41">
        <w:rPr>
          <w:rFonts w:ascii="Book Antiqua" w:hAnsi="Book Antiqua"/>
          <w:sz w:val="24"/>
        </w:rPr>
        <w:t xml:space="preserve">Applications </w:t>
      </w:r>
      <w:r w:rsidRPr="00C34514">
        <w:rPr>
          <w:rFonts w:ascii="Book Antiqua" w:hAnsi="Book Antiqua"/>
          <w:sz w:val="24"/>
        </w:rPr>
        <w:t>Committee)</w:t>
      </w:r>
    </w:p>
    <w:p w:rsidR="00EC70D8" w:rsidRDefault="00DA59F7" w:rsidP="00EC70D8">
      <w:pPr>
        <w:pStyle w:val="BodyText2"/>
        <w:numPr>
          <w:ilvl w:val="0"/>
          <w:numId w:val="3"/>
        </w:numPr>
        <w:rPr>
          <w:rFonts w:ascii="Book Antiqua" w:hAnsi="Book Antiqua"/>
          <w:sz w:val="24"/>
        </w:rPr>
      </w:pPr>
      <w:r w:rsidRPr="00C34514">
        <w:rPr>
          <w:rFonts w:ascii="Book Antiqua" w:hAnsi="Book Antiqua"/>
          <w:sz w:val="24"/>
        </w:rPr>
        <w:t>M</w:t>
      </w:r>
      <w:r w:rsidR="00C127C1">
        <w:rPr>
          <w:rFonts w:ascii="Book Antiqua" w:hAnsi="Book Antiqua"/>
          <w:sz w:val="24"/>
        </w:rPr>
        <w:t>r</w:t>
      </w:r>
      <w:r w:rsidRPr="00C34514">
        <w:rPr>
          <w:rFonts w:ascii="Book Antiqua" w:hAnsi="Book Antiqua"/>
          <w:sz w:val="24"/>
        </w:rPr>
        <w:t xml:space="preserve">s </w:t>
      </w:r>
      <w:r w:rsidR="0003629C" w:rsidRPr="00C34514">
        <w:rPr>
          <w:rFonts w:ascii="Book Antiqua" w:hAnsi="Book Antiqua"/>
          <w:sz w:val="24"/>
        </w:rPr>
        <w:t xml:space="preserve">Hayley Barsby (Chief Executive Officer). </w:t>
      </w:r>
    </w:p>
    <w:p w:rsidR="00EC70D8" w:rsidRDefault="00EC70D8" w:rsidP="00EC70D8">
      <w:pPr>
        <w:pStyle w:val="BodyText2"/>
        <w:ind w:left="720"/>
        <w:rPr>
          <w:rFonts w:ascii="Book Antiqua" w:hAnsi="Book Antiqua"/>
          <w:sz w:val="24"/>
        </w:rPr>
      </w:pPr>
    </w:p>
    <w:p w:rsidR="0003629C" w:rsidRPr="00C34514" w:rsidRDefault="0003629C" w:rsidP="00B67DE7">
      <w:pPr>
        <w:pStyle w:val="BodyText2"/>
        <w:numPr>
          <w:ilvl w:val="0"/>
          <w:numId w:val="5"/>
        </w:numPr>
        <w:rPr>
          <w:rFonts w:ascii="Book Antiqua" w:hAnsi="Book Antiqua"/>
          <w:sz w:val="24"/>
        </w:rPr>
      </w:pPr>
      <w:r w:rsidRPr="00C34514">
        <w:rPr>
          <w:rFonts w:ascii="Book Antiqua" w:hAnsi="Book Antiqua"/>
          <w:sz w:val="24"/>
        </w:rPr>
        <w:t>The Panel also had regard to members’ allowances paid in comparable authorities</w:t>
      </w:r>
      <w:r w:rsidR="00DA59F7" w:rsidRPr="00C34514">
        <w:rPr>
          <w:rFonts w:ascii="Book Antiqua" w:hAnsi="Book Antiqua"/>
          <w:sz w:val="24"/>
        </w:rPr>
        <w:t xml:space="preserve"> and to other elected mayors</w:t>
      </w:r>
      <w:r w:rsidRPr="00C34514">
        <w:rPr>
          <w:rFonts w:ascii="Book Antiqua" w:hAnsi="Book Antiqua"/>
          <w:sz w:val="24"/>
        </w:rPr>
        <w:t>. Throughout</w:t>
      </w:r>
      <w:r w:rsidR="00DA59F7" w:rsidRPr="00C34514">
        <w:rPr>
          <w:rFonts w:ascii="Book Antiqua" w:hAnsi="Book Antiqua"/>
          <w:sz w:val="24"/>
        </w:rPr>
        <w:t xml:space="preserve"> its visit</w:t>
      </w:r>
      <w:r w:rsidRPr="00C34514">
        <w:rPr>
          <w:rFonts w:ascii="Book Antiqua" w:hAnsi="Book Antiqua"/>
          <w:sz w:val="24"/>
        </w:rPr>
        <w:t xml:space="preserve"> the Panel were supported by M</w:t>
      </w:r>
      <w:r w:rsidR="00C127C1">
        <w:rPr>
          <w:rFonts w:ascii="Book Antiqua" w:hAnsi="Book Antiqua"/>
          <w:sz w:val="24"/>
        </w:rPr>
        <w:t>r</w:t>
      </w:r>
      <w:r w:rsidRPr="00C34514">
        <w:rPr>
          <w:rFonts w:ascii="Book Antiqua" w:hAnsi="Book Antiqua"/>
          <w:sz w:val="24"/>
        </w:rPr>
        <w:t>s Jacqu</w:t>
      </w:r>
      <w:r w:rsidR="00220B41">
        <w:rPr>
          <w:rFonts w:ascii="Book Antiqua" w:hAnsi="Book Antiqua"/>
          <w:sz w:val="24"/>
        </w:rPr>
        <w:t xml:space="preserve">eline </w:t>
      </w:r>
      <w:r w:rsidRPr="00C34514">
        <w:rPr>
          <w:rFonts w:ascii="Book Antiqua" w:hAnsi="Book Antiqua"/>
          <w:sz w:val="24"/>
        </w:rPr>
        <w:t>Collins (Director of Governance and Monitoring Officer) and Mr Mark Pemberton (Democratic Services Manager), to whom the Panel extends its thanks. Nevertheless, the views set out in this report are entirely those of the Panel itself.</w:t>
      </w:r>
    </w:p>
    <w:p w:rsidR="0003629C" w:rsidRPr="00C34514" w:rsidRDefault="0003629C" w:rsidP="0003629C">
      <w:pPr>
        <w:pStyle w:val="BodyText2"/>
        <w:rPr>
          <w:rFonts w:ascii="Book Antiqua" w:hAnsi="Book Antiqua"/>
          <w:sz w:val="24"/>
        </w:rPr>
      </w:pPr>
    </w:p>
    <w:p w:rsidR="0003629C" w:rsidRPr="00C34514" w:rsidRDefault="0003629C" w:rsidP="0003629C">
      <w:pPr>
        <w:pStyle w:val="BodyText2"/>
        <w:rPr>
          <w:rFonts w:ascii="Book Antiqua" w:hAnsi="Book Antiqua"/>
          <w:b/>
          <w:bCs/>
          <w:sz w:val="24"/>
        </w:rPr>
      </w:pPr>
      <w:r w:rsidRPr="00C34514">
        <w:rPr>
          <w:rFonts w:ascii="Book Antiqua" w:hAnsi="Book Antiqua"/>
          <w:b/>
          <w:bCs/>
          <w:sz w:val="24"/>
        </w:rPr>
        <w:t>The Council’s Scheme of Allowances</w:t>
      </w:r>
    </w:p>
    <w:p w:rsidR="0003629C" w:rsidRPr="00C34514" w:rsidRDefault="0003629C" w:rsidP="0003629C">
      <w:pPr>
        <w:rPr>
          <w:rFonts w:ascii="Book Antiqua" w:hAnsi="Book Antiqua"/>
          <w:b/>
          <w:bCs/>
        </w:rPr>
      </w:pPr>
    </w:p>
    <w:p w:rsidR="0003629C" w:rsidRPr="00C34514" w:rsidRDefault="000A7DF3" w:rsidP="00B67DE7">
      <w:pPr>
        <w:pStyle w:val="ListParagraph"/>
        <w:numPr>
          <w:ilvl w:val="0"/>
          <w:numId w:val="5"/>
        </w:numPr>
        <w:rPr>
          <w:rFonts w:ascii="Book Antiqua" w:hAnsi="Book Antiqua"/>
          <w:bCs/>
        </w:rPr>
      </w:pPr>
      <w:r w:rsidRPr="00C34514">
        <w:rPr>
          <w:rFonts w:ascii="Book Antiqua" w:hAnsi="Book Antiqua"/>
        </w:rPr>
        <w:t xml:space="preserve">The </w:t>
      </w:r>
      <w:r w:rsidR="0003629C" w:rsidRPr="00C34514">
        <w:rPr>
          <w:rFonts w:ascii="Book Antiqua" w:hAnsi="Book Antiqua"/>
        </w:rPr>
        <w:t xml:space="preserve">evidence we received confirmed our view that the general scheme of allowances has stood the test of time and is appropriate to the Council. It has been, we believe, successfully adapted to the Mayoral system. </w:t>
      </w:r>
      <w:r w:rsidRPr="00C34514">
        <w:rPr>
          <w:rFonts w:ascii="Book Antiqua" w:hAnsi="Book Antiqua"/>
        </w:rPr>
        <w:t>Since our last report, the member structure of the authority has not changed, though the distribution of responsibilities among portfolio holders has been varied. There continue</w:t>
      </w:r>
      <w:r w:rsidR="006E2069" w:rsidRPr="00C34514">
        <w:rPr>
          <w:rFonts w:ascii="Book Antiqua" w:hAnsi="Book Antiqua"/>
        </w:rPr>
        <w:t>s</w:t>
      </w:r>
      <w:r w:rsidRPr="00C34514">
        <w:rPr>
          <w:rFonts w:ascii="Book Antiqua" w:hAnsi="Book Antiqua"/>
        </w:rPr>
        <w:t xml:space="preserve"> to be seven portfolio holders. </w:t>
      </w:r>
      <w:r w:rsidR="00383972">
        <w:rPr>
          <w:rFonts w:ascii="Book Antiqua" w:hAnsi="Book Antiqua"/>
        </w:rPr>
        <w:t xml:space="preserve">The point was raised that there are variable workloads and responsibilities across the portfolio holders which might merit a variable SRA accordingly. However, the Panel believes that the allocation of portfolios is a matter for the Mayor reflecting priorities, specialisms and government agendas. </w:t>
      </w:r>
      <w:r w:rsidR="00B27830">
        <w:rPr>
          <w:rFonts w:ascii="Book Antiqua" w:hAnsi="Book Antiqua"/>
        </w:rPr>
        <w:t>The Panel</w:t>
      </w:r>
      <w:r w:rsidRPr="00C34514">
        <w:rPr>
          <w:rFonts w:ascii="Book Antiqua" w:hAnsi="Book Antiqua"/>
        </w:rPr>
        <w:t xml:space="preserve"> </w:t>
      </w:r>
      <w:r w:rsidR="00C34514" w:rsidRPr="00C34514">
        <w:rPr>
          <w:rFonts w:ascii="Book Antiqua" w:hAnsi="Book Antiqua"/>
        </w:rPr>
        <w:t>believe</w:t>
      </w:r>
      <w:r w:rsidR="00B27830">
        <w:rPr>
          <w:rFonts w:ascii="Book Antiqua" w:hAnsi="Book Antiqua"/>
        </w:rPr>
        <w:t>s</w:t>
      </w:r>
      <w:r w:rsidRPr="00C34514">
        <w:rPr>
          <w:rFonts w:ascii="Book Antiqua" w:hAnsi="Book Antiqua"/>
        </w:rPr>
        <w:t xml:space="preserve"> that (as in </w:t>
      </w:r>
      <w:r w:rsidR="0003629C" w:rsidRPr="00C34514">
        <w:rPr>
          <w:rFonts w:ascii="Book Antiqua" w:hAnsi="Book Antiqua"/>
        </w:rPr>
        <w:t>our 2014 recommendation</w:t>
      </w:r>
      <w:r w:rsidRPr="00C34514">
        <w:rPr>
          <w:rFonts w:ascii="Book Antiqua" w:hAnsi="Book Antiqua"/>
        </w:rPr>
        <w:t>)</w:t>
      </w:r>
      <w:r w:rsidR="0003629C" w:rsidRPr="00C34514">
        <w:rPr>
          <w:rFonts w:ascii="Book Antiqua" w:hAnsi="Book Antiqua"/>
        </w:rPr>
        <w:t xml:space="preserve"> </w:t>
      </w:r>
      <w:r w:rsidRPr="00C34514">
        <w:rPr>
          <w:rFonts w:ascii="Book Antiqua" w:hAnsi="Book Antiqua"/>
        </w:rPr>
        <w:t xml:space="preserve">the total cost of Special Responsibility Allowances paid to Portfolio Holders should </w:t>
      </w:r>
      <w:r w:rsidR="00C34514" w:rsidRPr="00C34514">
        <w:rPr>
          <w:rFonts w:ascii="Book Antiqua" w:hAnsi="Book Antiqua"/>
        </w:rPr>
        <w:t xml:space="preserve">continue to </w:t>
      </w:r>
      <w:r w:rsidRPr="00C34514">
        <w:rPr>
          <w:rFonts w:ascii="Book Antiqua" w:hAnsi="Book Antiqua"/>
        </w:rPr>
        <w:t>be capped at its present level (subject to the increases recommended in this report).</w:t>
      </w:r>
      <w:r w:rsidR="0003629C" w:rsidRPr="00C34514">
        <w:rPr>
          <w:rFonts w:ascii="Book Antiqua" w:hAnsi="Book Antiqua"/>
        </w:rPr>
        <w:t xml:space="preserve"> </w:t>
      </w:r>
    </w:p>
    <w:p w:rsidR="0003629C" w:rsidRPr="00C34514" w:rsidRDefault="0003629C" w:rsidP="0003629C">
      <w:pPr>
        <w:pStyle w:val="ListParagraph"/>
        <w:rPr>
          <w:rFonts w:ascii="Book Antiqua" w:hAnsi="Book Antiqua"/>
          <w:b/>
          <w:bCs/>
        </w:rPr>
      </w:pPr>
    </w:p>
    <w:p w:rsidR="00170C30" w:rsidRPr="00C34514" w:rsidRDefault="006E2069" w:rsidP="00B67DE7">
      <w:pPr>
        <w:pStyle w:val="ListParagraph"/>
        <w:numPr>
          <w:ilvl w:val="0"/>
          <w:numId w:val="5"/>
        </w:numPr>
        <w:rPr>
          <w:rFonts w:ascii="Book Antiqua" w:hAnsi="Book Antiqua"/>
          <w:b/>
          <w:bCs/>
        </w:rPr>
      </w:pPr>
      <w:r w:rsidRPr="00C34514">
        <w:rPr>
          <w:rFonts w:ascii="Book Antiqua" w:hAnsi="Book Antiqua"/>
        </w:rPr>
        <w:t>At present the Council has an Audit Committee and a Standards Committee. On 23</w:t>
      </w:r>
      <w:r w:rsidRPr="00C34514">
        <w:rPr>
          <w:rFonts w:ascii="Book Antiqua" w:hAnsi="Book Antiqua"/>
          <w:vertAlign w:val="superscript"/>
        </w:rPr>
        <w:t>rd</w:t>
      </w:r>
      <w:r w:rsidRPr="00C34514">
        <w:rPr>
          <w:rFonts w:ascii="Book Antiqua" w:hAnsi="Book Antiqua"/>
        </w:rPr>
        <w:t xml:space="preserve"> January 2019 the Council agreed to merge the two committees to form a Governance and Ethics Committee, to be implemented from the date of the Annual Council in May 2019.</w:t>
      </w:r>
      <w:r w:rsidR="0003629C" w:rsidRPr="00C34514">
        <w:rPr>
          <w:rFonts w:ascii="Book Antiqua" w:hAnsi="Book Antiqua"/>
        </w:rPr>
        <w:t xml:space="preserve"> </w:t>
      </w:r>
      <w:r w:rsidRPr="00C34514">
        <w:rPr>
          <w:rFonts w:ascii="Book Antiqua" w:hAnsi="Book Antiqua"/>
        </w:rPr>
        <w:t>The new committee would include two non-voting independent non-elected members. The Chairman of the Audit Committee currently receives a Special Responsibility Allowance of £2121.21 and the Chairman of the Standards Committee a Special Responsibility allowance of £1,630.91. The two independent members of the Audit Committee receive a</w:t>
      </w:r>
      <w:r w:rsidR="00383972">
        <w:rPr>
          <w:rFonts w:ascii="Book Antiqua" w:hAnsi="Book Antiqua"/>
        </w:rPr>
        <w:t xml:space="preserve"> Co-</w:t>
      </w:r>
      <w:proofErr w:type="spellStart"/>
      <w:r w:rsidR="00383972">
        <w:rPr>
          <w:rFonts w:ascii="Book Antiqua" w:hAnsi="Book Antiqua"/>
        </w:rPr>
        <w:t>optees</w:t>
      </w:r>
      <w:proofErr w:type="spellEnd"/>
      <w:r w:rsidR="00383972">
        <w:rPr>
          <w:rFonts w:ascii="Book Antiqua" w:hAnsi="Book Antiqua"/>
        </w:rPr>
        <w:t xml:space="preserve">’ Allowance of </w:t>
      </w:r>
      <w:r w:rsidRPr="00C34514">
        <w:rPr>
          <w:rFonts w:ascii="Book Antiqua" w:hAnsi="Book Antiqua"/>
        </w:rPr>
        <w:t xml:space="preserve">£295.84 and the </w:t>
      </w:r>
      <w:r w:rsidR="00383972">
        <w:rPr>
          <w:rFonts w:ascii="Book Antiqua" w:hAnsi="Book Antiqua"/>
        </w:rPr>
        <w:t>Co-</w:t>
      </w:r>
      <w:proofErr w:type="spellStart"/>
      <w:r w:rsidR="00383972">
        <w:rPr>
          <w:rFonts w:ascii="Book Antiqua" w:hAnsi="Book Antiqua"/>
        </w:rPr>
        <w:t>optees</w:t>
      </w:r>
      <w:proofErr w:type="spellEnd"/>
      <w:r w:rsidR="00383972">
        <w:rPr>
          <w:rFonts w:ascii="Book Antiqua" w:hAnsi="Book Antiqua"/>
        </w:rPr>
        <w:t xml:space="preserve">’ Allowance for the three independent members of the </w:t>
      </w:r>
      <w:r w:rsidR="00170C30" w:rsidRPr="00C34514">
        <w:rPr>
          <w:rFonts w:ascii="Book Antiqua" w:hAnsi="Book Antiqua"/>
        </w:rPr>
        <w:t xml:space="preserve">Standards Committee </w:t>
      </w:r>
      <w:r w:rsidR="00383972">
        <w:rPr>
          <w:rFonts w:ascii="Book Antiqua" w:hAnsi="Book Antiqua"/>
        </w:rPr>
        <w:t>(presently there are only two independent members of the Standards Committee, with one vacancy) is</w:t>
      </w:r>
      <w:r w:rsidRPr="00C34514">
        <w:rPr>
          <w:rFonts w:ascii="Book Antiqua" w:hAnsi="Book Antiqua"/>
        </w:rPr>
        <w:t xml:space="preserve"> £</w:t>
      </w:r>
      <w:r w:rsidR="00383972">
        <w:rPr>
          <w:rFonts w:ascii="Book Antiqua" w:hAnsi="Book Antiqua"/>
        </w:rPr>
        <w:t>530.51</w:t>
      </w:r>
      <w:r w:rsidRPr="00C34514">
        <w:rPr>
          <w:rFonts w:ascii="Book Antiqua" w:hAnsi="Book Antiqua"/>
        </w:rPr>
        <w:t xml:space="preserve">.  </w:t>
      </w:r>
      <w:r w:rsidR="00B27830">
        <w:rPr>
          <w:rFonts w:ascii="Book Antiqua" w:hAnsi="Book Antiqua"/>
        </w:rPr>
        <w:t>The Panel</w:t>
      </w:r>
      <w:r w:rsidR="00170C30" w:rsidRPr="00C34514">
        <w:rPr>
          <w:rFonts w:ascii="Book Antiqua" w:hAnsi="Book Antiqua"/>
        </w:rPr>
        <w:t xml:space="preserve"> recognise</w:t>
      </w:r>
      <w:r w:rsidR="00B27830">
        <w:rPr>
          <w:rFonts w:ascii="Book Antiqua" w:hAnsi="Book Antiqua"/>
        </w:rPr>
        <w:t>s</w:t>
      </w:r>
      <w:r w:rsidR="00170C30" w:rsidRPr="00C34514">
        <w:rPr>
          <w:rFonts w:ascii="Book Antiqua" w:hAnsi="Book Antiqua"/>
        </w:rPr>
        <w:t xml:space="preserve"> that the new standards regime is less demanding than its predecessor</w:t>
      </w:r>
      <w:r w:rsidR="00383972">
        <w:rPr>
          <w:rFonts w:ascii="Book Antiqua" w:hAnsi="Book Antiqua"/>
        </w:rPr>
        <w:t xml:space="preserve"> and the role of chairing the new committee will not be as large as the sum of the roles of the Chairmen of the two separate committees. The main role of the independent members of the Governance and Ethics Committee will be in relation to the audit function and, unlike the previous standards regime, are not statutory</w:t>
      </w:r>
      <w:r w:rsidR="009B3F8F">
        <w:rPr>
          <w:rFonts w:ascii="Book Antiqua" w:hAnsi="Book Antiqua"/>
        </w:rPr>
        <w:t xml:space="preserve">. However </w:t>
      </w:r>
      <w:r w:rsidR="00B27830">
        <w:rPr>
          <w:rFonts w:ascii="Book Antiqua" w:hAnsi="Book Antiqua"/>
        </w:rPr>
        <w:t>the Panel</w:t>
      </w:r>
      <w:r w:rsidR="009B3F8F">
        <w:rPr>
          <w:rFonts w:ascii="Book Antiqua" w:hAnsi="Book Antiqua"/>
        </w:rPr>
        <w:t xml:space="preserve"> believe</w:t>
      </w:r>
      <w:r w:rsidR="00B27830">
        <w:rPr>
          <w:rFonts w:ascii="Book Antiqua" w:hAnsi="Book Antiqua"/>
        </w:rPr>
        <w:t>s</w:t>
      </w:r>
      <w:r w:rsidR="009B3F8F">
        <w:rPr>
          <w:rFonts w:ascii="Book Antiqua" w:hAnsi="Book Antiqua"/>
        </w:rPr>
        <w:t xml:space="preserve"> that the combined role justifies a Co-</w:t>
      </w:r>
      <w:proofErr w:type="spellStart"/>
      <w:r w:rsidR="009B3F8F">
        <w:rPr>
          <w:rFonts w:ascii="Book Antiqua" w:hAnsi="Book Antiqua"/>
        </w:rPr>
        <w:t>optees</w:t>
      </w:r>
      <w:proofErr w:type="spellEnd"/>
      <w:r w:rsidR="009B3F8F">
        <w:rPr>
          <w:rFonts w:ascii="Book Antiqua" w:hAnsi="Book Antiqua"/>
        </w:rPr>
        <w:t>’ allowance equivalent to that of the Co-</w:t>
      </w:r>
      <w:proofErr w:type="spellStart"/>
      <w:r w:rsidR="009B3F8F">
        <w:rPr>
          <w:rFonts w:ascii="Book Antiqua" w:hAnsi="Book Antiqua"/>
        </w:rPr>
        <w:t>optees</w:t>
      </w:r>
      <w:proofErr w:type="spellEnd"/>
      <w:r w:rsidR="009B3F8F">
        <w:rPr>
          <w:rFonts w:ascii="Book Antiqua" w:hAnsi="Book Antiqua"/>
        </w:rPr>
        <w:t>’ allowance currently paid to the independent members of the Standards Committee.</w:t>
      </w:r>
      <w:r w:rsidR="00383972">
        <w:rPr>
          <w:rFonts w:ascii="Book Antiqua" w:hAnsi="Book Antiqua"/>
        </w:rPr>
        <w:t xml:space="preserve"> </w:t>
      </w:r>
      <w:r w:rsidR="00170C30" w:rsidRPr="00C34514">
        <w:rPr>
          <w:rFonts w:ascii="Book Antiqua" w:hAnsi="Book Antiqua"/>
        </w:rPr>
        <w:t>From the date of its institution,</w:t>
      </w:r>
      <w:r w:rsidR="00170C30" w:rsidRPr="00C34514">
        <w:rPr>
          <w:rFonts w:ascii="Book Antiqua" w:hAnsi="Book Antiqua"/>
          <w:b/>
        </w:rPr>
        <w:t xml:space="preserve"> we recommend that the Chairman of the Governance and Ethics Committee should receive a Special Responsibility Allowance of </w:t>
      </w:r>
      <w:r w:rsidR="00170C30" w:rsidRPr="00C34514">
        <w:rPr>
          <w:rFonts w:ascii="Book Antiqua" w:hAnsi="Book Antiqua"/>
          <w:b/>
          <w:bCs/>
        </w:rPr>
        <w:t>£3,000 and the two independent members a</w:t>
      </w:r>
      <w:r w:rsidR="00383972">
        <w:rPr>
          <w:rFonts w:ascii="Book Antiqua" w:hAnsi="Book Antiqua"/>
          <w:b/>
          <w:bCs/>
        </w:rPr>
        <w:t xml:space="preserve"> Co-</w:t>
      </w:r>
      <w:proofErr w:type="spellStart"/>
      <w:r w:rsidR="00383972">
        <w:rPr>
          <w:rFonts w:ascii="Book Antiqua" w:hAnsi="Book Antiqua"/>
          <w:b/>
          <w:bCs/>
        </w:rPr>
        <w:t>optees</w:t>
      </w:r>
      <w:proofErr w:type="spellEnd"/>
      <w:r w:rsidR="00383972">
        <w:rPr>
          <w:rFonts w:ascii="Book Antiqua" w:hAnsi="Book Antiqua"/>
          <w:b/>
          <w:bCs/>
        </w:rPr>
        <w:t>’ A</w:t>
      </w:r>
      <w:r w:rsidR="00170C30" w:rsidRPr="00C34514">
        <w:rPr>
          <w:rFonts w:ascii="Book Antiqua" w:hAnsi="Book Antiqua"/>
          <w:b/>
          <w:bCs/>
        </w:rPr>
        <w:t>llowance of £</w:t>
      </w:r>
      <w:r w:rsidR="009B3F8F">
        <w:rPr>
          <w:rFonts w:ascii="Book Antiqua" w:hAnsi="Book Antiqua"/>
          <w:b/>
          <w:bCs/>
        </w:rPr>
        <w:t>530.51</w:t>
      </w:r>
      <w:r w:rsidR="00170C30" w:rsidRPr="00C34514">
        <w:rPr>
          <w:rFonts w:ascii="Book Antiqua" w:hAnsi="Book Antiqua"/>
          <w:bCs/>
        </w:rPr>
        <w:t>.</w:t>
      </w:r>
      <w:r w:rsidR="00170C30" w:rsidRPr="00C34514">
        <w:rPr>
          <w:rFonts w:ascii="Book Antiqua" w:hAnsi="Book Antiqua"/>
          <w:b/>
        </w:rPr>
        <w:t xml:space="preserve"> </w:t>
      </w:r>
    </w:p>
    <w:p w:rsidR="00170C30" w:rsidRPr="00C34514" w:rsidRDefault="00170C30" w:rsidP="00170C30">
      <w:pPr>
        <w:pStyle w:val="ListParagraph"/>
        <w:rPr>
          <w:rFonts w:ascii="Book Antiqua" w:hAnsi="Book Antiqua"/>
          <w:b/>
        </w:rPr>
      </w:pPr>
    </w:p>
    <w:p w:rsidR="00743B83" w:rsidRPr="00C34514" w:rsidRDefault="00B27830" w:rsidP="00B67DE7">
      <w:pPr>
        <w:pStyle w:val="ListParagraph"/>
        <w:numPr>
          <w:ilvl w:val="0"/>
          <w:numId w:val="5"/>
        </w:numPr>
        <w:rPr>
          <w:rFonts w:ascii="Book Antiqua" w:hAnsi="Book Antiqua"/>
          <w:b/>
          <w:bCs/>
        </w:rPr>
      </w:pPr>
      <w:r>
        <w:rPr>
          <w:rFonts w:ascii="Book Antiqua" w:hAnsi="Book Antiqua"/>
        </w:rPr>
        <w:t>The Panel</w:t>
      </w:r>
      <w:r w:rsidR="00170C30" w:rsidRPr="00C34514">
        <w:rPr>
          <w:rFonts w:ascii="Book Antiqua" w:hAnsi="Book Antiqua"/>
        </w:rPr>
        <w:t xml:space="preserve"> considered the </w:t>
      </w:r>
      <w:r w:rsidR="00743B83" w:rsidRPr="00C34514">
        <w:rPr>
          <w:rFonts w:ascii="Book Antiqua" w:hAnsi="Book Antiqua"/>
        </w:rPr>
        <w:t xml:space="preserve">Special Responsibility Allowances paid to the Chairmen of the three Overview and Scrutiny Committees. The Committees appear to have very different workloads: the </w:t>
      </w:r>
      <w:r w:rsidR="00170C30" w:rsidRPr="00C34514">
        <w:rPr>
          <w:rFonts w:ascii="Book Antiqua" w:hAnsi="Book Antiqua"/>
        </w:rPr>
        <w:t xml:space="preserve">Overview and Scrutiny Committee (Corporate) is </w:t>
      </w:r>
      <w:r w:rsidR="00743B83" w:rsidRPr="00C34514">
        <w:rPr>
          <w:rFonts w:ascii="Book Antiqua" w:hAnsi="Book Antiqua"/>
        </w:rPr>
        <w:t>scheduled to</w:t>
      </w:r>
      <w:r w:rsidR="00170C30" w:rsidRPr="00C34514">
        <w:rPr>
          <w:rFonts w:ascii="Book Antiqua" w:hAnsi="Book Antiqua"/>
        </w:rPr>
        <w:t xml:space="preserve"> m</w:t>
      </w:r>
      <w:r w:rsidR="00743B83" w:rsidRPr="00C34514">
        <w:rPr>
          <w:rFonts w:ascii="Book Antiqua" w:hAnsi="Book Antiqua"/>
        </w:rPr>
        <w:t>e</w:t>
      </w:r>
      <w:r w:rsidR="00170C30" w:rsidRPr="00C34514">
        <w:rPr>
          <w:rFonts w:ascii="Book Antiqua" w:hAnsi="Book Antiqua"/>
        </w:rPr>
        <w:t>et 17 times</w:t>
      </w:r>
      <w:r w:rsidR="00743B83" w:rsidRPr="00C34514">
        <w:rPr>
          <w:rFonts w:ascii="Book Antiqua" w:hAnsi="Book Antiqua"/>
        </w:rPr>
        <w:t xml:space="preserve"> in the 2018-19 municipal year; the other two Overview and Scrutiny Committees only seven times each. On balance </w:t>
      </w:r>
      <w:r>
        <w:rPr>
          <w:rFonts w:ascii="Book Antiqua" w:hAnsi="Book Antiqua"/>
        </w:rPr>
        <w:t>the Panel</w:t>
      </w:r>
      <w:r w:rsidR="00743B83" w:rsidRPr="00C34514">
        <w:rPr>
          <w:rFonts w:ascii="Book Antiqua" w:hAnsi="Book Antiqua"/>
        </w:rPr>
        <w:t xml:space="preserve"> decided that we should not differentiate between the Special Responsibility Allowances paid to the Chairmen of the three committees, believing that the comparative workloads of the three committees </w:t>
      </w:r>
      <w:r w:rsidR="00BA4731" w:rsidRPr="00C34514">
        <w:rPr>
          <w:rFonts w:ascii="Book Antiqua" w:hAnsi="Book Antiqua"/>
        </w:rPr>
        <w:t>(and thus of</w:t>
      </w:r>
      <w:r w:rsidR="00743B83" w:rsidRPr="00C34514">
        <w:rPr>
          <w:rFonts w:ascii="Book Antiqua" w:hAnsi="Book Antiqua"/>
        </w:rPr>
        <w:t xml:space="preserve"> their Chairmen) are for the Council to review. </w:t>
      </w:r>
    </w:p>
    <w:p w:rsidR="00743B83" w:rsidRPr="00C34514" w:rsidRDefault="00743B83" w:rsidP="00743B83">
      <w:pPr>
        <w:pStyle w:val="ListParagraph"/>
        <w:rPr>
          <w:rFonts w:ascii="Book Antiqua" w:hAnsi="Book Antiqua"/>
          <w:b/>
        </w:rPr>
      </w:pPr>
    </w:p>
    <w:p w:rsidR="00BA4731" w:rsidRPr="00C34514" w:rsidRDefault="00BA4731" w:rsidP="00B67DE7">
      <w:pPr>
        <w:pStyle w:val="ListParagraph"/>
        <w:numPr>
          <w:ilvl w:val="0"/>
          <w:numId w:val="5"/>
        </w:numPr>
        <w:rPr>
          <w:rFonts w:ascii="Book Antiqua" w:hAnsi="Book Antiqua"/>
          <w:b/>
          <w:bCs/>
        </w:rPr>
      </w:pPr>
      <w:r w:rsidRPr="00C34514">
        <w:rPr>
          <w:rFonts w:ascii="Book Antiqua" w:hAnsi="Book Antiqua"/>
        </w:rPr>
        <w:t>As mentioned in paragraph 4 above and i</w:t>
      </w:r>
      <w:r w:rsidR="00C62E98" w:rsidRPr="00C34514">
        <w:rPr>
          <w:rFonts w:ascii="Book Antiqua" w:hAnsi="Book Antiqua"/>
        </w:rPr>
        <w:t xml:space="preserve">n accordance with the recommendation in our 2014 report, members of the Council have received no increase in their allowances for four years. During that time there have been successive increases in the Retail Price Index of 2.4%; 1%; 1.8%; 3.6%; and 3.3%. In the same period local government pay awards have been 0%; 2.2% (plus a consolidated payment of </w:t>
      </w:r>
      <w:r w:rsidR="00C62E98" w:rsidRPr="00C34514">
        <w:rPr>
          <w:rFonts w:ascii="Book Antiqua" w:hAnsi="Book Antiqua"/>
          <w:bCs/>
        </w:rPr>
        <w:t xml:space="preserve">£100); </w:t>
      </w:r>
      <w:r w:rsidR="00C62E98" w:rsidRPr="00C34514">
        <w:rPr>
          <w:rFonts w:ascii="Book Antiqua" w:hAnsi="Book Antiqua"/>
        </w:rPr>
        <w:t>1%; 1%; and 2%. Moreover councillors have lost access to the local government pension scheme, which gave them the benefit of an “employers’ contribution” of</w:t>
      </w:r>
      <w:r w:rsidR="00220B41">
        <w:rPr>
          <w:rFonts w:ascii="Book Antiqua" w:hAnsi="Book Antiqua"/>
        </w:rPr>
        <w:t xml:space="preserve"> up to</w:t>
      </w:r>
      <w:r w:rsidR="00C62E98" w:rsidRPr="00C34514">
        <w:rPr>
          <w:rFonts w:ascii="Book Antiqua" w:hAnsi="Book Antiqua"/>
        </w:rPr>
        <w:t xml:space="preserve"> 13.9%. These changes mean that </w:t>
      </w:r>
      <w:r w:rsidRPr="00C34514">
        <w:rPr>
          <w:rFonts w:ascii="Book Antiqua" w:hAnsi="Book Antiqua"/>
        </w:rPr>
        <w:t xml:space="preserve">in real terms </w:t>
      </w:r>
      <w:r w:rsidR="00C62E98" w:rsidRPr="00C34514">
        <w:rPr>
          <w:rFonts w:ascii="Book Antiqua" w:hAnsi="Book Antiqua"/>
        </w:rPr>
        <w:t xml:space="preserve">members’ allowances have diminished sharply. While recognising the </w:t>
      </w:r>
      <w:r w:rsidRPr="00C34514">
        <w:rPr>
          <w:rFonts w:ascii="Book Antiqua" w:hAnsi="Book Antiqua"/>
        </w:rPr>
        <w:t>need for</w:t>
      </w:r>
      <w:r w:rsidR="00C62E98" w:rsidRPr="00C34514">
        <w:rPr>
          <w:rFonts w:ascii="Book Antiqua" w:hAnsi="Book Antiqua"/>
        </w:rPr>
        <w:t xml:space="preserve"> austerity</w:t>
      </w:r>
      <w:r w:rsidRPr="00C34514">
        <w:rPr>
          <w:rFonts w:ascii="Book Antiqua" w:hAnsi="Book Antiqua"/>
        </w:rPr>
        <w:t xml:space="preserve"> </w:t>
      </w:r>
      <w:r w:rsidR="00B27830">
        <w:rPr>
          <w:rFonts w:ascii="Book Antiqua" w:hAnsi="Book Antiqua"/>
        </w:rPr>
        <w:t>the Panel</w:t>
      </w:r>
      <w:r w:rsidRPr="00C34514">
        <w:rPr>
          <w:rFonts w:ascii="Book Antiqua" w:hAnsi="Book Antiqua"/>
        </w:rPr>
        <w:t xml:space="preserve"> reiterate</w:t>
      </w:r>
      <w:r w:rsidR="00B27830">
        <w:rPr>
          <w:rFonts w:ascii="Book Antiqua" w:hAnsi="Book Antiqua"/>
        </w:rPr>
        <w:t>s its</w:t>
      </w:r>
      <w:r w:rsidRPr="00C34514">
        <w:rPr>
          <w:rFonts w:ascii="Book Antiqua" w:hAnsi="Book Antiqua"/>
        </w:rPr>
        <w:t xml:space="preserve"> belief (see paragraph 3 above) in the importance of elected members and the need for an allowances scheme which makes it possible for people to serve on their council.</w:t>
      </w:r>
      <w:r w:rsidR="00C62E98" w:rsidRPr="00C34514">
        <w:rPr>
          <w:rFonts w:ascii="Book Antiqua" w:hAnsi="Book Antiqua"/>
        </w:rPr>
        <w:t xml:space="preserve"> </w:t>
      </w:r>
      <w:r w:rsidRPr="00C34514">
        <w:rPr>
          <w:rFonts w:ascii="Book Antiqua" w:hAnsi="Book Antiqua"/>
        </w:rPr>
        <w:t xml:space="preserve">After </w:t>
      </w:r>
      <w:r w:rsidR="00DF7322" w:rsidRPr="00C34514">
        <w:rPr>
          <w:rFonts w:ascii="Book Antiqua" w:hAnsi="Book Antiqua"/>
        </w:rPr>
        <w:t xml:space="preserve">four </w:t>
      </w:r>
      <w:r w:rsidRPr="00C34514">
        <w:rPr>
          <w:rFonts w:ascii="Book Antiqua" w:hAnsi="Book Antiqua"/>
        </w:rPr>
        <w:t xml:space="preserve">years of no increases, we now </w:t>
      </w:r>
      <w:r w:rsidRPr="00C34514">
        <w:rPr>
          <w:rFonts w:ascii="Book Antiqua" w:hAnsi="Book Antiqua"/>
          <w:b/>
        </w:rPr>
        <w:t xml:space="preserve">recommend that for the next four years </w:t>
      </w:r>
      <w:r w:rsidR="0023294B">
        <w:rPr>
          <w:rFonts w:ascii="Book Antiqua" w:hAnsi="Book Antiqua"/>
          <w:b/>
        </w:rPr>
        <w:t>the Basic Allowance, Special Responsibility Allowances and the Co-</w:t>
      </w:r>
      <w:proofErr w:type="spellStart"/>
      <w:r w:rsidR="0023294B">
        <w:rPr>
          <w:rFonts w:ascii="Book Antiqua" w:hAnsi="Book Antiqua"/>
          <w:b/>
        </w:rPr>
        <w:t>optees</w:t>
      </w:r>
      <w:proofErr w:type="spellEnd"/>
      <w:r w:rsidR="0023294B">
        <w:rPr>
          <w:rFonts w:ascii="Book Antiqua" w:hAnsi="Book Antiqua"/>
          <w:b/>
        </w:rPr>
        <w:t>’ Allowances, together with the</w:t>
      </w:r>
      <w:r w:rsidRPr="00C34514">
        <w:rPr>
          <w:rFonts w:ascii="Book Antiqua" w:hAnsi="Book Antiqua"/>
          <w:b/>
        </w:rPr>
        <w:t xml:space="preserve"> Council’s flat rate travelling allowance</w:t>
      </w:r>
      <w:r w:rsidR="0023294B">
        <w:rPr>
          <w:rFonts w:ascii="Book Antiqua" w:hAnsi="Book Antiqua"/>
          <w:b/>
        </w:rPr>
        <w:t>,</w:t>
      </w:r>
      <w:r w:rsidRPr="00C34514">
        <w:rPr>
          <w:rFonts w:ascii="Book Antiqua" w:hAnsi="Book Antiqua"/>
          <w:b/>
        </w:rPr>
        <w:t xml:space="preserve"> be in</w:t>
      </w:r>
      <w:r w:rsidR="0023294B">
        <w:rPr>
          <w:rFonts w:ascii="Book Antiqua" w:hAnsi="Book Antiqua"/>
          <w:b/>
        </w:rPr>
        <w:t>dexed to</w:t>
      </w:r>
      <w:r w:rsidRPr="00C34514">
        <w:rPr>
          <w:rFonts w:ascii="Book Antiqua" w:hAnsi="Book Antiqua"/>
          <w:b/>
        </w:rPr>
        <w:t xml:space="preserve"> the headline figure of the national local government pay </w:t>
      </w:r>
      <w:r w:rsidR="0023294B">
        <w:rPr>
          <w:rFonts w:ascii="Book Antiqua" w:hAnsi="Book Antiqua"/>
          <w:b/>
        </w:rPr>
        <w:t>settlement as agreed annually by the National Joint Council for Local Government Staff</w:t>
      </w:r>
      <w:r w:rsidR="00C02311">
        <w:rPr>
          <w:rFonts w:ascii="Book Antiqua" w:hAnsi="Book Antiqua"/>
          <w:b/>
        </w:rPr>
        <w:t xml:space="preserve"> </w:t>
      </w:r>
      <w:r w:rsidR="009B3F8F">
        <w:rPr>
          <w:rFonts w:ascii="Book Antiqua" w:hAnsi="Book Antiqua"/>
          <w:b/>
        </w:rPr>
        <w:t xml:space="preserve">(including the figure agreed for the financial year 2019-20) </w:t>
      </w:r>
      <w:r w:rsidR="00C02311">
        <w:rPr>
          <w:rFonts w:ascii="Book Antiqua" w:hAnsi="Book Antiqua"/>
          <w:b/>
        </w:rPr>
        <w:t xml:space="preserve">to be implemented with effect from </w:t>
      </w:r>
      <w:r w:rsidR="009B3F8F">
        <w:rPr>
          <w:rFonts w:ascii="Book Antiqua" w:hAnsi="Book Antiqua"/>
          <w:b/>
        </w:rPr>
        <w:t>the beginning of the 2019-20 municipal year</w:t>
      </w:r>
      <w:r w:rsidR="0023294B">
        <w:rPr>
          <w:rFonts w:ascii="Book Antiqua" w:hAnsi="Book Antiqua"/>
          <w:b/>
        </w:rPr>
        <w:t>.</w:t>
      </w:r>
    </w:p>
    <w:p w:rsidR="00BA4731" w:rsidRPr="00C34514" w:rsidRDefault="00BA4731" w:rsidP="00BA4731">
      <w:pPr>
        <w:pStyle w:val="ListParagraph"/>
        <w:rPr>
          <w:rFonts w:ascii="Book Antiqua" w:hAnsi="Book Antiqua"/>
          <w:b/>
          <w:bCs/>
        </w:rPr>
      </w:pPr>
    </w:p>
    <w:p w:rsidR="0023294B" w:rsidRDefault="00BA4731" w:rsidP="00B67DE7">
      <w:pPr>
        <w:pStyle w:val="ListParagraph"/>
        <w:numPr>
          <w:ilvl w:val="0"/>
          <w:numId w:val="5"/>
        </w:numPr>
        <w:rPr>
          <w:rFonts w:ascii="Book Antiqua" w:hAnsi="Book Antiqua"/>
          <w:b/>
          <w:bCs/>
        </w:rPr>
      </w:pPr>
      <w:r w:rsidRPr="0023294B">
        <w:rPr>
          <w:rFonts w:ascii="Book Antiqua" w:hAnsi="Book Antiqua"/>
          <w:b/>
          <w:bCs/>
        </w:rPr>
        <w:t xml:space="preserve">We </w:t>
      </w:r>
      <w:r w:rsidRPr="00C34514">
        <w:rPr>
          <w:rFonts w:ascii="Book Antiqua" w:hAnsi="Book Antiqua"/>
          <w:b/>
          <w:bCs/>
        </w:rPr>
        <w:t xml:space="preserve">recommend that </w:t>
      </w:r>
      <w:r w:rsidR="0023294B">
        <w:rPr>
          <w:rFonts w:ascii="Book Antiqua" w:hAnsi="Book Antiqua"/>
          <w:b/>
          <w:bCs/>
        </w:rPr>
        <w:t xml:space="preserve">subsistence and overnight rates </w:t>
      </w:r>
      <w:r w:rsidR="00F4591E">
        <w:rPr>
          <w:rFonts w:ascii="Book Antiqua" w:hAnsi="Book Antiqua"/>
          <w:b/>
          <w:bCs/>
        </w:rPr>
        <w:t xml:space="preserve">for councillors </w:t>
      </w:r>
      <w:r w:rsidR="0023294B">
        <w:rPr>
          <w:rFonts w:ascii="Book Antiqua" w:hAnsi="Book Antiqua"/>
          <w:b/>
          <w:bCs/>
        </w:rPr>
        <w:t>continue to be based on the rates and conditions applicable to Mansfield District Council staff.</w:t>
      </w:r>
    </w:p>
    <w:p w:rsidR="009B3F8F" w:rsidRPr="004E4F35" w:rsidRDefault="009B3F8F" w:rsidP="009B3F8F">
      <w:pPr>
        <w:pStyle w:val="ListParagraph"/>
        <w:rPr>
          <w:rFonts w:ascii="Book Antiqua" w:hAnsi="Book Antiqua"/>
          <w:b/>
          <w:bCs/>
        </w:rPr>
      </w:pPr>
    </w:p>
    <w:p w:rsidR="009B3F8F" w:rsidRPr="004E4F35" w:rsidRDefault="004E4F35" w:rsidP="00B67DE7">
      <w:pPr>
        <w:pStyle w:val="ListParagraph"/>
        <w:numPr>
          <w:ilvl w:val="0"/>
          <w:numId w:val="5"/>
        </w:numPr>
        <w:rPr>
          <w:rFonts w:ascii="Book Antiqua" w:hAnsi="Book Antiqua"/>
          <w:b/>
          <w:bCs/>
        </w:rPr>
      </w:pPr>
      <w:r w:rsidRPr="004E4F35">
        <w:rPr>
          <w:rFonts w:ascii="Book Antiqua" w:hAnsi="Book Antiqua"/>
          <w:b/>
        </w:rPr>
        <w:t xml:space="preserve">We recommend that </w:t>
      </w:r>
      <w:r w:rsidR="009B3F8F" w:rsidRPr="004E4F35">
        <w:rPr>
          <w:rFonts w:ascii="Book Antiqua" w:hAnsi="Book Antiqua"/>
          <w:b/>
        </w:rPr>
        <w:t xml:space="preserve">where mileage is claimed (for journeys outside </w:t>
      </w:r>
      <w:r w:rsidRPr="004E4F35">
        <w:rPr>
          <w:rFonts w:ascii="Book Antiqua" w:hAnsi="Book Antiqua"/>
          <w:b/>
        </w:rPr>
        <w:t xml:space="preserve">the </w:t>
      </w:r>
      <w:r>
        <w:rPr>
          <w:rFonts w:ascii="Book Antiqua" w:hAnsi="Book Antiqua"/>
          <w:b/>
        </w:rPr>
        <w:t>C</w:t>
      </w:r>
      <w:r w:rsidR="009B3F8F" w:rsidRPr="004E4F35">
        <w:rPr>
          <w:rFonts w:ascii="Book Antiqua" w:hAnsi="Book Antiqua"/>
          <w:b/>
        </w:rPr>
        <w:t>ouncil area) that it should be indexed to HMRC rates</w:t>
      </w:r>
      <w:r w:rsidRPr="004E4F35">
        <w:rPr>
          <w:rFonts w:ascii="Book Antiqua" w:hAnsi="Book Antiqua"/>
          <w:b/>
        </w:rPr>
        <w:t>.</w:t>
      </w:r>
    </w:p>
    <w:p w:rsidR="00BA4731" w:rsidRPr="0023294B" w:rsidRDefault="0023294B" w:rsidP="0023294B">
      <w:pPr>
        <w:rPr>
          <w:rFonts w:ascii="Book Antiqua" w:hAnsi="Book Antiqua"/>
          <w:b/>
          <w:bCs/>
        </w:rPr>
      </w:pPr>
      <w:r w:rsidRPr="0023294B">
        <w:rPr>
          <w:rFonts w:ascii="Book Antiqua" w:hAnsi="Book Antiqua"/>
          <w:b/>
          <w:bCs/>
        </w:rPr>
        <w:t xml:space="preserve"> </w:t>
      </w:r>
    </w:p>
    <w:p w:rsidR="00BA4731" w:rsidRPr="00C34514" w:rsidRDefault="00BA4731" w:rsidP="00B67DE7">
      <w:pPr>
        <w:pStyle w:val="ListParagraph"/>
        <w:numPr>
          <w:ilvl w:val="0"/>
          <w:numId w:val="5"/>
        </w:numPr>
        <w:rPr>
          <w:rFonts w:ascii="Book Antiqua" w:hAnsi="Book Antiqua"/>
          <w:b/>
          <w:bCs/>
        </w:rPr>
      </w:pPr>
      <w:r w:rsidRPr="00C34514">
        <w:rPr>
          <w:rFonts w:ascii="Book Antiqua" w:hAnsi="Book Antiqua"/>
          <w:bCs/>
        </w:rPr>
        <w:t>We</w:t>
      </w:r>
      <w:r w:rsidR="00DF7322" w:rsidRPr="00C34514">
        <w:rPr>
          <w:rFonts w:ascii="Book Antiqua" w:hAnsi="Book Antiqua"/>
          <w:bCs/>
        </w:rPr>
        <w:t xml:space="preserve"> understand that no Dependants’ Carers’ Allowance has ever been claimed by a serving Mansfield councillor. We believe that a carers’ allowance should be available in order to enable the widest possible range</w:t>
      </w:r>
      <w:r w:rsidRPr="00C34514">
        <w:rPr>
          <w:rFonts w:ascii="Book Antiqua" w:hAnsi="Book Antiqua"/>
          <w:bCs/>
        </w:rPr>
        <w:t xml:space="preserve"> </w:t>
      </w:r>
      <w:r w:rsidR="00DF7322" w:rsidRPr="00C34514">
        <w:rPr>
          <w:rFonts w:ascii="Book Antiqua" w:hAnsi="Book Antiqua"/>
          <w:bCs/>
        </w:rPr>
        <w:t xml:space="preserve">of people to participate in the work of the Council. With that in mind, we </w:t>
      </w:r>
      <w:r w:rsidRPr="00C34514">
        <w:rPr>
          <w:rFonts w:ascii="Book Antiqua" w:hAnsi="Book Antiqua"/>
          <w:bCs/>
        </w:rPr>
        <w:t>also</w:t>
      </w:r>
      <w:r w:rsidRPr="00C34514">
        <w:rPr>
          <w:rFonts w:ascii="Book Antiqua" w:hAnsi="Book Antiqua"/>
          <w:b/>
          <w:bCs/>
        </w:rPr>
        <w:t xml:space="preserve"> recommend</w:t>
      </w:r>
      <w:r w:rsidR="00DF7322" w:rsidRPr="00C34514">
        <w:rPr>
          <w:rFonts w:ascii="Book Antiqua" w:hAnsi="Book Antiqua"/>
          <w:b/>
          <w:bCs/>
        </w:rPr>
        <w:t xml:space="preserve"> that the </w:t>
      </w:r>
      <w:r w:rsidR="0023294B">
        <w:rPr>
          <w:rFonts w:ascii="Book Antiqua" w:hAnsi="Book Antiqua"/>
          <w:b/>
          <w:bCs/>
        </w:rPr>
        <w:t>child care element of the D</w:t>
      </w:r>
      <w:r w:rsidR="00DF7322" w:rsidRPr="00C34514">
        <w:rPr>
          <w:rFonts w:ascii="Book Antiqua" w:hAnsi="Book Antiqua"/>
          <w:b/>
          <w:bCs/>
        </w:rPr>
        <w:t xml:space="preserve">ependants’ </w:t>
      </w:r>
      <w:r w:rsidR="0023294B">
        <w:rPr>
          <w:rFonts w:ascii="Book Antiqua" w:hAnsi="Book Antiqua"/>
          <w:b/>
          <w:bCs/>
        </w:rPr>
        <w:t>C</w:t>
      </w:r>
      <w:r w:rsidR="00DF7322" w:rsidRPr="00C34514">
        <w:rPr>
          <w:rFonts w:ascii="Book Antiqua" w:hAnsi="Book Antiqua"/>
          <w:b/>
          <w:bCs/>
        </w:rPr>
        <w:t xml:space="preserve">arers’ </w:t>
      </w:r>
      <w:r w:rsidR="0023294B">
        <w:rPr>
          <w:rFonts w:ascii="Book Antiqua" w:hAnsi="Book Antiqua"/>
          <w:b/>
          <w:bCs/>
        </w:rPr>
        <w:t>A</w:t>
      </w:r>
      <w:r w:rsidR="00DF7322" w:rsidRPr="00C34514">
        <w:rPr>
          <w:rFonts w:ascii="Book Antiqua" w:hAnsi="Book Antiqua"/>
          <w:b/>
          <w:bCs/>
        </w:rPr>
        <w:t>llowance be linked to the national living wage.</w:t>
      </w:r>
      <w:r w:rsidR="0023294B">
        <w:rPr>
          <w:rFonts w:ascii="Book Antiqua" w:hAnsi="Book Antiqua"/>
          <w:b/>
          <w:bCs/>
        </w:rPr>
        <w:t xml:space="preserve"> Care for other dependants should continue to be linked to the appropriate rate paid by Nottinghamshire County Council Social Services Department for a similar type of care.</w:t>
      </w:r>
    </w:p>
    <w:p w:rsidR="00BA4731" w:rsidRPr="00C34514" w:rsidRDefault="00BA4731" w:rsidP="00BA4731">
      <w:pPr>
        <w:pStyle w:val="ListParagraph"/>
        <w:rPr>
          <w:rFonts w:ascii="Book Antiqua" w:hAnsi="Book Antiqua"/>
          <w:b/>
          <w:bCs/>
        </w:rPr>
      </w:pPr>
    </w:p>
    <w:p w:rsidR="0003629C" w:rsidRPr="00C34514" w:rsidRDefault="0003629C" w:rsidP="0003629C">
      <w:pPr>
        <w:rPr>
          <w:rFonts w:ascii="Book Antiqua" w:hAnsi="Book Antiqua"/>
          <w:b/>
        </w:rPr>
      </w:pPr>
      <w:r w:rsidRPr="00C34514">
        <w:rPr>
          <w:rFonts w:ascii="Book Antiqua" w:hAnsi="Book Antiqua"/>
          <w:b/>
        </w:rPr>
        <w:t>Implementation</w:t>
      </w:r>
    </w:p>
    <w:p w:rsidR="0003629C" w:rsidRPr="00C34514" w:rsidRDefault="0003629C" w:rsidP="0003629C">
      <w:pPr>
        <w:rPr>
          <w:rFonts w:ascii="Book Antiqua" w:hAnsi="Book Antiqua"/>
          <w:b/>
        </w:rPr>
      </w:pPr>
    </w:p>
    <w:p w:rsidR="0003629C" w:rsidRPr="00C34514" w:rsidRDefault="0003629C" w:rsidP="00B67DE7">
      <w:pPr>
        <w:pStyle w:val="ListParagraph"/>
        <w:numPr>
          <w:ilvl w:val="0"/>
          <w:numId w:val="5"/>
        </w:numPr>
        <w:rPr>
          <w:rFonts w:ascii="Book Antiqua" w:hAnsi="Book Antiqua"/>
        </w:rPr>
      </w:pPr>
      <w:r w:rsidRPr="00C34514">
        <w:rPr>
          <w:rFonts w:ascii="Book Antiqua" w:hAnsi="Book Antiqua"/>
          <w:b/>
        </w:rPr>
        <w:t xml:space="preserve">We recommend that </w:t>
      </w:r>
      <w:r w:rsidR="00DF7322" w:rsidRPr="00C34514">
        <w:rPr>
          <w:rFonts w:ascii="Book Antiqua" w:hAnsi="Book Antiqua"/>
          <w:b/>
        </w:rPr>
        <w:t>the Members’ Allowances Scheme continue unaltered except for the changes mentioned above and that those changes</w:t>
      </w:r>
      <w:r w:rsidRPr="00C34514">
        <w:rPr>
          <w:rFonts w:ascii="Book Antiqua" w:hAnsi="Book Antiqua"/>
          <w:b/>
        </w:rPr>
        <w:t xml:space="preserve"> be implemented with effect from </w:t>
      </w:r>
      <w:r w:rsidR="00DF7322" w:rsidRPr="00C34514">
        <w:rPr>
          <w:rFonts w:ascii="Book Antiqua" w:hAnsi="Book Antiqua"/>
          <w:b/>
        </w:rPr>
        <w:t>the beginning of the 2019-20 municipal year.</w:t>
      </w:r>
    </w:p>
    <w:p w:rsidR="0003629C" w:rsidRPr="00C34514" w:rsidRDefault="0003629C" w:rsidP="0003629C">
      <w:pPr>
        <w:rPr>
          <w:rFonts w:ascii="Book Antiqua" w:hAnsi="Book Antiqua"/>
        </w:rPr>
      </w:pPr>
    </w:p>
    <w:p w:rsidR="0003629C" w:rsidRPr="00C34514" w:rsidRDefault="0003629C" w:rsidP="0003629C">
      <w:pPr>
        <w:rPr>
          <w:rFonts w:ascii="Book Antiqua" w:hAnsi="Book Antiqua"/>
        </w:rPr>
      </w:pPr>
    </w:p>
    <w:p w:rsidR="0003629C" w:rsidRPr="00C34514" w:rsidRDefault="0003629C" w:rsidP="0003629C">
      <w:pPr>
        <w:rPr>
          <w:rFonts w:ascii="Book Antiqua" w:hAnsi="Book Antiqua"/>
          <w:b/>
        </w:rPr>
      </w:pPr>
      <w:r w:rsidRPr="00C34514">
        <w:rPr>
          <w:rFonts w:ascii="Book Antiqua" w:hAnsi="Book Antiqua"/>
          <w:b/>
        </w:rPr>
        <w:t>SUMMARY OF RECOMMENDATIONS</w:t>
      </w:r>
    </w:p>
    <w:p w:rsidR="0003629C" w:rsidRPr="00C34514" w:rsidRDefault="0003629C" w:rsidP="0003629C">
      <w:pPr>
        <w:rPr>
          <w:rFonts w:ascii="Book Antiqua" w:hAnsi="Book Antiqua"/>
          <w:b/>
        </w:rPr>
      </w:pPr>
    </w:p>
    <w:p w:rsidR="0003629C" w:rsidRPr="00C34514" w:rsidRDefault="0003629C" w:rsidP="0003629C">
      <w:pPr>
        <w:pStyle w:val="ListParagraph"/>
        <w:numPr>
          <w:ilvl w:val="0"/>
          <w:numId w:val="2"/>
        </w:numPr>
        <w:rPr>
          <w:rFonts w:ascii="Book Antiqua" w:hAnsi="Book Antiqua"/>
          <w:b/>
        </w:rPr>
      </w:pPr>
      <w:r w:rsidRPr="00C34514">
        <w:rPr>
          <w:rFonts w:ascii="Book Antiqua" w:hAnsi="Book Antiqua"/>
          <w:b/>
          <w:bCs/>
        </w:rPr>
        <w:t xml:space="preserve">The current scheme of members’ allowances </w:t>
      </w:r>
      <w:r w:rsidR="00DF7322" w:rsidRPr="00C34514">
        <w:rPr>
          <w:rFonts w:ascii="Book Antiqua" w:hAnsi="Book Antiqua"/>
          <w:b/>
          <w:bCs/>
        </w:rPr>
        <w:t xml:space="preserve">should </w:t>
      </w:r>
      <w:r w:rsidRPr="00C34514">
        <w:rPr>
          <w:rFonts w:ascii="Book Antiqua" w:hAnsi="Book Antiqua"/>
          <w:b/>
          <w:bCs/>
        </w:rPr>
        <w:t>be unaltered except for the changes recommended below.</w:t>
      </w:r>
    </w:p>
    <w:p w:rsidR="003A2927" w:rsidRPr="00C34514" w:rsidRDefault="003A2927" w:rsidP="003A2927">
      <w:pPr>
        <w:pStyle w:val="ListParagraph"/>
        <w:numPr>
          <w:ilvl w:val="0"/>
          <w:numId w:val="2"/>
        </w:numPr>
        <w:rPr>
          <w:rFonts w:ascii="Book Antiqua" w:hAnsi="Book Antiqua"/>
          <w:b/>
          <w:bCs/>
        </w:rPr>
      </w:pPr>
      <w:r w:rsidRPr="00C34514">
        <w:rPr>
          <w:rFonts w:ascii="Book Antiqua" w:hAnsi="Book Antiqua"/>
          <w:b/>
        </w:rPr>
        <w:t xml:space="preserve">the Chairman of the Governance and Ethics Committee should receive a Special Responsibility Allowance of </w:t>
      </w:r>
      <w:r w:rsidRPr="00C34514">
        <w:rPr>
          <w:rFonts w:ascii="Book Antiqua" w:hAnsi="Book Antiqua"/>
          <w:b/>
          <w:bCs/>
        </w:rPr>
        <w:t>£3,000 and the two independent members a</w:t>
      </w:r>
      <w:r w:rsidR="0023294B">
        <w:rPr>
          <w:rFonts w:ascii="Book Antiqua" w:hAnsi="Book Antiqua"/>
          <w:b/>
          <w:bCs/>
        </w:rPr>
        <w:t xml:space="preserve"> Co-</w:t>
      </w:r>
      <w:proofErr w:type="spellStart"/>
      <w:r w:rsidR="0023294B">
        <w:rPr>
          <w:rFonts w:ascii="Book Antiqua" w:hAnsi="Book Antiqua"/>
          <w:b/>
          <w:bCs/>
        </w:rPr>
        <w:t>optees</w:t>
      </w:r>
      <w:proofErr w:type="spellEnd"/>
      <w:r w:rsidR="0023294B">
        <w:rPr>
          <w:rFonts w:ascii="Book Antiqua" w:hAnsi="Book Antiqua"/>
          <w:b/>
          <w:bCs/>
        </w:rPr>
        <w:t>’ A</w:t>
      </w:r>
      <w:r w:rsidR="009E4BF1">
        <w:rPr>
          <w:rFonts w:ascii="Book Antiqua" w:hAnsi="Book Antiqua"/>
          <w:b/>
          <w:bCs/>
        </w:rPr>
        <w:t>llowance of £530.51</w:t>
      </w:r>
      <w:r w:rsidRPr="00C34514">
        <w:rPr>
          <w:rFonts w:ascii="Book Antiqua" w:hAnsi="Book Antiqua"/>
          <w:b/>
        </w:rPr>
        <w:t xml:space="preserve"> </w:t>
      </w:r>
    </w:p>
    <w:p w:rsidR="003A2927" w:rsidRPr="00F4591E" w:rsidRDefault="003A2927" w:rsidP="003A2927">
      <w:pPr>
        <w:pStyle w:val="ListParagraph"/>
        <w:numPr>
          <w:ilvl w:val="0"/>
          <w:numId w:val="2"/>
        </w:numPr>
        <w:rPr>
          <w:rFonts w:ascii="Book Antiqua" w:hAnsi="Book Antiqua"/>
          <w:b/>
          <w:bCs/>
        </w:rPr>
      </w:pPr>
      <w:r w:rsidRPr="00C34514">
        <w:rPr>
          <w:rFonts w:ascii="Book Antiqua" w:hAnsi="Book Antiqua"/>
          <w:b/>
        </w:rPr>
        <w:t xml:space="preserve">for the next four years </w:t>
      </w:r>
      <w:r w:rsidR="0023294B">
        <w:rPr>
          <w:rFonts w:ascii="Book Antiqua" w:hAnsi="Book Antiqua"/>
          <w:b/>
        </w:rPr>
        <w:t>the Basic Allowance, Special Responsibility and Co-</w:t>
      </w:r>
      <w:proofErr w:type="spellStart"/>
      <w:r w:rsidR="0023294B">
        <w:rPr>
          <w:rFonts w:ascii="Book Antiqua" w:hAnsi="Book Antiqua"/>
          <w:b/>
        </w:rPr>
        <w:t>optees</w:t>
      </w:r>
      <w:proofErr w:type="spellEnd"/>
      <w:r w:rsidR="0023294B">
        <w:rPr>
          <w:rFonts w:ascii="Book Antiqua" w:hAnsi="Book Antiqua"/>
          <w:b/>
        </w:rPr>
        <w:t xml:space="preserve">’ Allowances </w:t>
      </w:r>
      <w:r w:rsidRPr="00C34514">
        <w:rPr>
          <w:rFonts w:ascii="Book Antiqua" w:hAnsi="Book Antiqua"/>
          <w:b/>
        </w:rPr>
        <w:t xml:space="preserve">and the Council’s flat rate </w:t>
      </w:r>
      <w:r w:rsidR="0023294B">
        <w:rPr>
          <w:rFonts w:ascii="Book Antiqua" w:hAnsi="Book Antiqua"/>
          <w:b/>
        </w:rPr>
        <w:t xml:space="preserve">within district </w:t>
      </w:r>
      <w:r w:rsidRPr="00C34514">
        <w:rPr>
          <w:rFonts w:ascii="Book Antiqua" w:hAnsi="Book Antiqua"/>
          <w:b/>
        </w:rPr>
        <w:t xml:space="preserve">travelling allowance be </w:t>
      </w:r>
      <w:r w:rsidR="0023294B">
        <w:rPr>
          <w:rFonts w:ascii="Book Antiqua" w:hAnsi="Book Antiqua"/>
          <w:b/>
        </w:rPr>
        <w:t xml:space="preserve">indexed to </w:t>
      </w:r>
      <w:r w:rsidR="00F4591E">
        <w:rPr>
          <w:rFonts w:ascii="Book Antiqua" w:hAnsi="Book Antiqua"/>
          <w:b/>
        </w:rPr>
        <w:t>t</w:t>
      </w:r>
      <w:r w:rsidR="0023294B">
        <w:rPr>
          <w:rFonts w:ascii="Book Antiqua" w:hAnsi="Book Antiqua"/>
          <w:b/>
        </w:rPr>
        <w:t xml:space="preserve">he headline figure of </w:t>
      </w:r>
      <w:r w:rsidRPr="00C34514">
        <w:rPr>
          <w:rFonts w:ascii="Book Antiqua" w:hAnsi="Book Antiqua"/>
          <w:b/>
        </w:rPr>
        <w:t xml:space="preserve">the national local government pay </w:t>
      </w:r>
      <w:r w:rsidR="00F4591E">
        <w:rPr>
          <w:rFonts w:ascii="Book Antiqua" w:hAnsi="Book Antiqua"/>
          <w:b/>
        </w:rPr>
        <w:t>settlement</w:t>
      </w:r>
      <w:r w:rsidR="0023294B">
        <w:rPr>
          <w:rFonts w:ascii="Book Antiqua" w:hAnsi="Book Antiqua"/>
          <w:b/>
        </w:rPr>
        <w:t xml:space="preserve"> (known as the NJC</w:t>
      </w:r>
      <w:r w:rsidR="00F4591E">
        <w:rPr>
          <w:rFonts w:ascii="Book Antiqua" w:hAnsi="Book Antiqua"/>
          <w:b/>
        </w:rPr>
        <w:t xml:space="preserve"> percentage pay settlement)</w:t>
      </w:r>
      <w:r w:rsidR="009B3F8F">
        <w:rPr>
          <w:rFonts w:ascii="Book Antiqua" w:hAnsi="Book Antiqua"/>
          <w:b/>
        </w:rPr>
        <w:t>,</w:t>
      </w:r>
      <w:r w:rsidR="00C02311">
        <w:rPr>
          <w:rFonts w:ascii="Book Antiqua" w:hAnsi="Book Antiqua"/>
          <w:b/>
        </w:rPr>
        <w:t xml:space="preserve"> </w:t>
      </w:r>
      <w:r w:rsidR="009B3F8F">
        <w:rPr>
          <w:rFonts w:ascii="Book Antiqua" w:hAnsi="Book Antiqua"/>
          <w:b/>
        </w:rPr>
        <w:t xml:space="preserve">including the figure agreed for the financial year 2019-20, </w:t>
      </w:r>
      <w:r w:rsidR="00C02311">
        <w:rPr>
          <w:rFonts w:ascii="Book Antiqua" w:hAnsi="Book Antiqua"/>
          <w:b/>
        </w:rPr>
        <w:t xml:space="preserve">with effect from </w:t>
      </w:r>
      <w:r w:rsidR="009B3F8F">
        <w:rPr>
          <w:rFonts w:ascii="Book Antiqua" w:hAnsi="Book Antiqua"/>
          <w:b/>
        </w:rPr>
        <w:t>the beginning of the 2019-20 municipal year</w:t>
      </w:r>
      <w:r w:rsidRPr="00C34514">
        <w:rPr>
          <w:rFonts w:ascii="Book Antiqua" w:hAnsi="Book Antiqua"/>
          <w:b/>
        </w:rPr>
        <w:t>.</w:t>
      </w:r>
    </w:p>
    <w:p w:rsidR="00F4591E" w:rsidRDefault="00F4591E" w:rsidP="00F4591E">
      <w:pPr>
        <w:pStyle w:val="ListParagraph"/>
        <w:numPr>
          <w:ilvl w:val="0"/>
          <w:numId w:val="2"/>
        </w:numPr>
        <w:rPr>
          <w:rFonts w:ascii="Book Antiqua" w:hAnsi="Book Antiqua"/>
          <w:b/>
          <w:bCs/>
        </w:rPr>
      </w:pPr>
      <w:proofErr w:type="gramStart"/>
      <w:r>
        <w:rPr>
          <w:rFonts w:ascii="Book Antiqua" w:hAnsi="Book Antiqua"/>
          <w:b/>
          <w:bCs/>
        </w:rPr>
        <w:t>the</w:t>
      </w:r>
      <w:proofErr w:type="gramEnd"/>
      <w:r>
        <w:rPr>
          <w:rFonts w:ascii="Book Antiqua" w:hAnsi="Book Antiqua"/>
          <w:b/>
          <w:bCs/>
        </w:rPr>
        <w:t xml:space="preserve"> subsistence and overnight rates for councillors continue to be based on the rates and conditions applicable to Mansfield District Council staff.</w:t>
      </w:r>
    </w:p>
    <w:p w:rsidR="00F4591E" w:rsidRDefault="003A2927" w:rsidP="009B3F8F">
      <w:pPr>
        <w:pStyle w:val="ListParagraph"/>
        <w:numPr>
          <w:ilvl w:val="0"/>
          <w:numId w:val="2"/>
        </w:numPr>
        <w:rPr>
          <w:rFonts w:ascii="Book Antiqua" w:hAnsi="Book Antiqua"/>
          <w:b/>
          <w:bCs/>
        </w:rPr>
      </w:pPr>
      <w:r w:rsidRPr="00C34514">
        <w:rPr>
          <w:rFonts w:ascii="Book Antiqua" w:hAnsi="Book Antiqua"/>
          <w:b/>
          <w:bCs/>
        </w:rPr>
        <w:t>the</w:t>
      </w:r>
      <w:r w:rsidR="00F4591E" w:rsidRPr="00C34514">
        <w:rPr>
          <w:rFonts w:ascii="Book Antiqua" w:hAnsi="Book Antiqua"/>
          <w:b/>
          <w:bCs/>
        </w:rPr>
        <w:t xml:space="preserve"> </w:t>
      </w:r>
      <w:r w:rsidR="00F4591E">
        <w:rPr>
          <w:rFonts w:ascii="Book Antiqua" w:hAnsi="Book Antiqua"/>
          <w:b/>
          <w:bCs/>
        </w:rPr>
        <w:t>child care element of the D</w:t>
      </w:r>
      <w:r w:rsidR="00F4591E" w:rsidRPr="00C34514">
        <w:rPr>
          <w:rFonts w:ascii="Book Antiqua" w:hAnsi="Book Antiqua"/>
          <w:b/>
          <w:bCs/>
        </w:rPr>
        <w:t xml:space="preserve">ependants’ </w:t>
      </w:r>
      <w:r w:rsidR="00F4591E">
        <w:rPr>
          <w:rFonts w:ascii="Book Antiqua" w:hAnsi="Book Antiqua"/>
          <w:b/>
          <w:bCs/>
        </w:rPr>
        <w:t>C</w:t>
      </w:r>
      <w:r w:rsidR="00F4591E" w:rsidRPr="00C34514">
        <w:rPr>
          <w:rFonts w:ascii="Book Antiqua" w:hAnsi="Book Antiqua"/>
          <w:b/>
          <w:bCs/>
        </w:rPr>
        <w:t xml:space="preserve">arers’ </w:t>
      </w:r>
      <w:r w:rsidR="00F4591E">
        <w:rPr>
          <w:rFonts w:ascii="Book Antiqua" w:hAnsi="Book Antiqua"/>
          <w:b/>
          <w:bCs/>
        </w:rPr>
        <w:t>A</w:t>
      </w:r>
      <w:r w:rsidR="00F4591E" w:rsidRPr="00C34514">
        <w:rPr>
          <w:rFonts w:ascii="Book Antiqua" w:hAnsi="Book Antiqua"/>
          <w:b/>
          <w:bCs/>
        </w:rPr>
        <w:t>llowance be linked to the national living wage</w:t>
      </w:r>
      <w:r w:rsidR="00F4591E">
        <w:rPr>
          <w:rFonts w:ascii="Book Antiqua" w:hAnsi="Book Antiqua"/>
          <w:b/>
          <w:bCs/>
        </w:rPr>
        <w:t xml:space="preserve"> and that care for other dependants should continue to be linked to the appropriate rate paid by Nottinghamshire County Council Social Services Department for a similar type of care.</w:t>
      </w:r>
    </w:p>
    <w:p w:rsidR="004E4F35" w:rsidRPr="004E4F35" w:rsidRDefault="004E4F35" w:rsidP="004E4F35">
      <w:pPr>
        <w:pStyle w:val="ListParagraph"/>
        <w:numPr>
          <w:ilvl w:val="0"/>
          <w:numId w:val="2"/>
        </w:numPr>
        <w:rPr>
          <w:rFonts w:ascii="Book Antiqua" w:hAnsi="Book Antiqua"/>
          <w:b/>
          <w:bCs/>
        </w:rPr>
      </w:pPr>
      <w:proofErr w:type="gramStart"/>
      <w:r w:rsidRPr="004E4F35">
        <w:rPr>
          <w:rFonts w:ascii="Book Antiqua" w:hAnsi="Book Antiqua"/>
          <w:b/>
        </w:rPr>
        <w:t>where</w:t>
      </w:r>
      <w:proofErr w:type="gramEnd"/>
      <w:r w:rsidRPr="004E4F35">
        <w:rPr>
          <w:rFonts w:ascii="Book Antiqua" w:hAnsi="Book Antiqua"/>
          <w:b/>
        </w:rPr>
        <w:t xml:space="preserve"> mileage is claimed (for journeys outside the </w:t>
      </w:r>
      <w:r>
        <w:rPr>
          <w:rFonts w:ascii="Book Antiqua" w:hAnsi="Book Antiqua"/>
          <w:b/>
        </w:rPr>
        <w:t>C</w:t>
      </w:r>
      <w:r w:rsidRPr="004E4F35">
        <w:rPr>
          <w:rFonts w:ascii="Book Antiqua" w:hAnsi="Book Antiqua"/>
          <w:b/>
        </w:rPr>
        <w:t>ouncil area) that it should be indexed to HMRC rates.</w:t>
      </w:r>
    </w:p>
    <w:p w:rsidR="0003629C" w:rsidRPr="00C34514" w:rsidRDefault="0003629C" w:rsidP="0003629C">
      <w:pPr>
        <w:pStyle w:val="ListParagraph"/>
        <w:numPr>
          <w:ilvl w:val="0"/>
          <w:numId w:val="2"/>
        </w:numPr>
        <w:rPr>
          <w:rFonts w:ascii="Book Antiqua" w:hAnsi="Book Antiqua"/>
        </w:rPr>
      </w:pPr>
      <w:proofErr w:type="gramStart"/>
      <w:r w:rsidRPr="00C34514">
        <w:rPr>
          <w:rFonts w:ascii="Book Antiqua" w:hAnsi="Book Antiqua"/>
          <w:b/>
        </w:rPr>
        <w:t>the</w:t>
      </w:r>
      <w:proofErr w:type="gramEnd"/>
      <w:r w:rsidRPr="00C34514">
        <w:rPr>
          <w:rFonts w:ascii="Book Antiqua" w:hAnsi="Book Antiqua"/>
          <w:b/>
        </w:rPr>
        <w:t xml:space="preserve"> changes we recommend to the Members’ Allowance Scheme should be implemented with effect from </w:t>
      </w:r>
      <w:r w:rsidR="00DF7322" w:rsidRPr="00C34514">
        <w:rPr>
          <w:rFonts w:ascii="Book Antiqua" w:hAnsi="Book Antiqua"/>
          <w:b/>
        </w:rPr>
        <w:t>the beginning of the 2019-20 municipal year.</w:t>
      </w:r>
    </w:p>
    <w:p w:rsidR="0003629C" w:rsidRPr="00C34514" w:rsidRDefault="0003629C" w:rsidP="0003629C">
      <w:pPr>
        <w:rPr>
          <w:rFonts w:ascii="Book Antiqua" w:hAnsi="Book Antiqua"/>
          <w:b/>
        </w:rPr>
      </w:pPr>
    </w:p>
    <w:p w:rsidR="0003629C" w:rsidRPr="00C34514" w:rsidRDefault="0003629C" w:rsidP="0003629C">
      <w:pPr>
        <w:pStyle w:val="Heading7"/>
        <w:rPr>
          <w:rFonts w:ascii="Book Antiqua" w:hAnsi="Book Antiqua"/>
          <w:b/>
          <w:bCs/>
          <w:u w:val="none"/>
        </w:rPr>
      </w:pPr>
      <w:r w:rsidRPr="00C34514">
        <w:rPr>
          <w:rFonts w:ascii="Book Antiqua" w:hAnsi="Book Antiqua"/>
          <w:b/>
          <w:bCs/>
          <w:u w:val="none"/>
        </w:rPr>
        <w:t>Rodney Brooke</w:t>
      </w:r>
    </w:p>
    <w:p w:rsidR="0003629C" w:rsidRPr="00C34514" w:rsidRDefault="0003629C" w:rsidP="0003629C">
      <w:pPr>
        <w:rPr>
          <w:rFonts w:ascii="Book Antiqua" w:hAnsi="Book Antiqua"/>
          <w:b/>
          <w:bCs/>
        </w:rPr>
      </w:pPr>
      <w:r w:rsidRPr="00C34514">
        <w:rPr>
          <w:rFonts w:ascii="Book Antiqua" w:hAnsi="Book Antiqua"/>
          <w:b/>
          <w:bCs/>
        </w:rPr>
        <w:t>Declan Hall</w:t>
      </w:r>
    </w:p>
    <w:p w:rsidR="0003629C" w:rsidRPr="00C34514" w:rsidRDefault="0003629C" w:rsidP="0003629C">
      <w:pPr>
        <w:rPr>
          <w:rFonts w:ascii="Book Antiqua" w:hAnsi="Book Antiqua"/>
          <w:b/>
          <w:bCs/>
        </w:rPr>
      </w:pPr>
      <w:proofErr w:type="spellStart"/>
      <w:r w:rsidRPr="00C34514">
        <w:rPr>
          <w:rFonts w:ascii="Book Antiqua" w:hAnsi="Book Antiqua"/>
          <w:b/>
          <w:bCs/>
        </w:rPr>
        <w:t>Madi</w:t>
      </w:r>
      <w:proofErr w:type="spellEnd"/>
      <w:r w:rsidRPr="00C34514">
        <w:rPr>
          <w:rFonts w:ascii="Book Antiqua" w:hAnsi="Book Antiqua"/>
          <w:b/>
          <w:bCs/>
        </w:rPr>
        <w:t xml:space="preserve"> Sharma</w:t>
      </w:r>
    </w:p>
    <w:p w:rsidR="0003629C" w:rsidRPr="00C34514" w:rsidRDefault="0003629C" w:rsidP="0003629C">
      <w:pPr>
        <w:rPr>
          <w:rFonts w:ascii="Book Antiqua" w:hAnsi="Book Antiqua"/>
          <w:b/>
          <w:bCs/>
        </w:rPr>
      </w:pPr>
    </w:p>
    <w:p w:rsidR="0003629C" w:rsidRPr="00C34514" w:rsidRDefault="00C127C1" w:rsidP="0003629C">
      <w:pPr>
        <w:rPr>
          <w:rFonts w:ascii="Book Antiqua" w:hAnsi="Book Antiqua"/>
          <w:b/>
        </w:rPr>
      </w:pPr>
      <w:r>
        <w:rPr>
          <w:rFonts w:ascii="Book Antiqua" w:hAnsi="Book Antiqua"/>
          <w:b/>
          <w:bCs/>
        </w:rPr>
        <w:t>11</w:t>
      </w:r>
      <w:r w:rsidR="004E4F35" w:rsidRPr="004E4F35">
        <w:rPr>
          <w:rFonts w:ascii="Book Antiqua" w:hAnsi="Book Antiqua"/>
          <w:b/>
          <w:bCs/>
          <w:vertAlign w:val="superscript"/>
        </w:rPr>
        <w:t>th</w:t>
      </w:r>
      <w:r w:rsidR="004E4F35">
        <w:rPr>
          <w:rFonts w:ascii="Book Antiqua" w:hAnsi="Book Antiqua"/>
          <w:b/>
          <w:bCs/>
        </w:rPr>
        <w:t xml:space="preserve"> </w:t>
      </w:r>
      <w:r w:rsidR="00F4591E">
        <w:rPr>
          <w:rFonts w:ascii="Book Antiqua" w:hAnsi="Book Antiqua"/>
          <w:b/>
          <w:bCs/>
        </w:rPr>
        <w:t>February</w:t>
      </w:r>
      <w:r w:rsidR="0003629C" w:rsidRPr="00C34514">
        <w:rPr>
          <w:rFonts w:ascii="Book Antiqua" w:hAnsi="Book Antiqua"/>
          <w:b/>
          <w:bCs/>
        </w:rPr>
        <w:t xml:space="preserve"> 2019</w:t>
      </w:r>
    </w:p>
    <w:p w:rsidR="0003629C" w:rsidRPr="00C34514" w:rsidRDefault="0003629C" w:rsidP="0003629C">
      <w:pPr>
        <w:rPr>
          <w:rFonts w:ascii="Book Antiqua" w:hAnsi="Book Antiqua"/>
        </w:rPr>
      </w:pPr>
    </w:p>
    <w:p w:rsidR="0003629C" w:rsidRPr="00C34514" w:rsidRDefault="0003629C" w:rsidP="0003629C"/>
    <w:p w:rsidR="0043277D" w:rsidRPr="00C34514" w:rsidRDefault="0043277D"/>
    <w:sectPr w:rsidR="0043277D" w:rsidRPr="00C345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459CA"/>
    <w:multiLevelType w:val="hybridMultilevel"/>
    <w:tmpl w:val="209A005C"/>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05D5628D"/>
    <w:multiLevelType w:val="hybridMultilevel"/>
    <w:tmpl w:val="058291E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12AB536A"/>
    <w:multiLevelType w:val="hybridMultilevel"/>
    <w:tmpl w:val="59B848AC"/>
    <w:lvl w:ilvl="0" w:tplc="5FCCA75E">
      <w:numFmt w:val="bullet"/>
      <w:lvlText w:val="-"/>
      <w:lvlJc w:val="left"/>
      <w:pPr>
        <w:ind w:left="720" w:hanging="360"/>
      </w:pPr>
      <w:rPr>
        <w:rFonts w:ascii="Book Antiqua" w:eastAsia="Times New Roman" w:hAnsi="Book Antiqu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8014AD"/>
    <w:multiLevelType w:val="hybridMultilevel"/>
    <w:tmpl w:val="157C9D9E"/>
    <w:lvl w:ilvl="0" w:tplc="4864B40E">
      <w:start w:val="1"/>
      <w:numFmt w:val="lowerLetter"/>
      <w:lvlText w:val="(%1)"/>
      <w:lvlJc w:val="left"/>
      <w:pPr>
        <w:ind w:left="720" w:hanging="360"/>
      </w:pPr>
      <w:rPr>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49E93555"/>
    <w:multiLevelType w:val="hybridMultilevel"/>
    <w:tmpl w:val="EA14C156"/>
    <w:lvl w:ilvl="0" w:tplc="0809000F">
      <w:start w:val="3"/>
      <w:numFmt w:val="decimal"/>
      <w:lvlText w:val="%1."/>
      <w:lvlJc w:val="left"/>
      <w:pPr>
        <w:ind w:left="720" w:hanging="360"/>
      </w:pPr>
      <w:rPr>
        <w:rFonts w:ascii="Times New Roman" w:hAnsi="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29C"/>
    <w:rsid w:val="0003629C"/>
    <w:rsid w:val="000A7DF3"/>
    <w:rsid w:val="00170C30"/>
    <w:rsid w:val="00220B41"/>
    <w:rsid w:val="002248B6"/>
    <w:rsid w:val="0023294B"/>
    <w:rsid w:val="00383972"/>
    <w:rsid w:val="003A2927"/>
    <w:rsid w:val="0043277D"/>
    <w:rsid w:val="004E4F35"/>
    <w:rsid w:val="006E2069"/>
    <w:rsid w:val="00743B83"/>
    <w:rsid w:val="007D0B77"/>
    <w:rsid w:val="009B3F8F"/>
    <w:rsid w:val="009E4BF1"/>
    <w:rsid w:val="00B27830"/>
    <w:rsid w:val="00B67DE7"/>
    <w:rsid w:val="00BA4731"/>
    <w:rsid w:val="00BE7EF6"/>
    <w:rsid w:val="00C02311"/>
    <w:rsid w:val="00C127C1"/>
    <w:rsid w:val="00C34514"/>
    <w:rsid w:val="00C62E98"/>
    <w:rsid w:val="00DA59F7"/>
    <w:rsid w:val="00DF7322"/>
    <w:rsid w:val="00EC70D8"/>
    <w:rsid w:val="00EC7D13"/>
    <w:rsid w:val="00F459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29C"/>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03629C"/>
    <w:pPr>
      <w:keepNext/>
      <w:ind w:left="360"/>
      <w:jc w:val="right"/>
      <w:outlineLvl w:val="1"/>
    </w:pPr>
    <w:rPr>
      <w:b/>
      <w:bCs/>
      <w:sz w:val="28"/>
    </w:rPr>
  </w:style>
  <w:style w:type="paragraph" w:styleId="Heading7">
    <w:name w:val="heading 7"/>
    <w:basedOn w:val="Normal"/>
    <w:next w:val="Normal"/>
    <w:link w:val="Heading7Char"/>
    <w:semiHidden/>
    <w:unhideWhenUsed/>
    <w:qFormat/>
    <w:rsid w:val="0003629C"/>
    <w:pPr>
      <w:keepNext/>
      <w:outlineLvl w:val="6"/>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03629C"/>
    <w:rPr>
      <w:rFonts w:ascii="Times New Roman" w:eastAsia="Times New Roman" w:hAnsi="Times New Roman" w:cs="Times New Roman"/>
      <w:b/>
      <w:bCs/>
      <w:sz w:val="28"/>
      <w:szCs w:val="24"/>
    </w:rPr>
  </w:style>
  <w:style w:type="character" w:customStyle="1" w:styleId="Heading7Char">
    <w:name w:val="Heading 7 Char"/>
    <w:basedOn w:val="DefaultParagraphFont"/>
    <w:link w:val="Heading7"/>
    <w:semiHidden/>
    <w:rsid w:val="0003629C"/>
    <w:rPr>
      <w:rFonts w:ascii="Times New Roman" w:eastAsia="Times New Roman" w:hAnsi="Times New Roman" w:cs="Times New Roman"/>
      <w:sz w:val="24"/>
      <w:szCs w:val="24"/>
      <w:u w:val="single"/>
    </w:rPr>
  </w:style>
  <w:style w:type="paragraph" w:styleId="BodyText2">
    <w:name w:val="Body Text 2"/>
    <w:basedOn w:val="Normal"/>
    <w:link w:val="BodyText2Char"/>
    <w:unhideWhenUsed/>
    <w:rsid w:val="0003629C"/>
    <w:rPr>
      <w:sz w:val="28"/>
    </w:rPr>
  </w:style>
  <w:style w:type="character" w:customStyle="1" w:styleId="BodyText2Char">
    <w:name w:val="Body Text 2 Char"/>
    <w:basedOn w:val="DefaultParagraphFont"/>
    <w:link w:val="BodyText2"/>
    <w:rsid w:val="0003629C"/>
    <w:rPr>
      <w:rFonts w:ascii="Times New Roman" w:eastAsia="Times New Roman" w:hAnsi="Times New Roman" w:cs="Times New Roman"/>
      <w:sz w:val="28"/>
      <w:szCs w:val="24"/>
    </w:rPr>
  </w:style>
  <w:style w:type="paragraph" w:styleId="ListParagraph">
    <w:name w:val="List Paragraph"/>
    <w:basedOn w:val="Normal"/>
    <w:uiPriority w:val="34"/>
    <w:qFormat/>
    <w:rsid w:val="0003629C"/>
    <w:pPr>
      <w:ind w:left="720"/>
      <w:contextualSpacing/>
    </w:pPr>
  </w:style>
  <w:style w:type="paragraph" w:styleId="BalloonText">
    <w:name w:val="Balloon Text"/>
    <w:basedOn w:val="Normal"/>
    <w:link w:val="BalloonTextChar"/>
    <w:uiPriority w:val="99"/>
    <w:semiHidden/>
    <w:unhideWhenUsed/>
    <w:rsid w:val="0003629C"/>
    <w:rPr>
      <w:rFonts w:ascii="Tahoma" w:hAnsi="Tahoma" w:cs="Tahoma"/>
      <w:sz w:val="16"/>
      <w:szCs w:val="16"/>
    </w:rPr>
  </w:style>
  <w:style w:type="character" w:customStyle="1" w:styleId="BalloonTextChar">
    <w:name w:val="Balloon Text Char"/>
    <w:basedOn w:val="DefaultParagraphFont"/>
    <w:link w:val="BalloonText"/>
    <w:uiPriority w:val="99"/>
    <w:semiHidden/>
    <w:rsid w:val="0003629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29C"/>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03629C"/>
    <w:pPr>
      <w:keepNext/>
      <w:ind w:left="360"/>
      <w:jc w:val="right"/>
      <w:outlineLvl w:val="1"/>
    </w:pPr>
    <w:rPr>
      <w:b/>
      <w:bCs/>
      <w:sz w:val="28"/>
    </w:rPr>
  </w:style>
  <w:style w:type="paragraph" w:styleId="Heading7">
    <w:name w:val="heading 7"/>
    <w:basedOn w:val="Normal"/>
    <w:next w:val="Normal"/>
    <w:link w:val="Heading7Char"/>
    <w:semiHidden/>
    <w:unhideWhenUsed/>
    <w:qFormat/>
    <w:rsid w:val="0003629C"/>
    <w:pPr>
      <w:keepNext/>
      <w:outlineLvl w:val="6"/>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03629C"/>
    <w:rPr>
      <w:rFonts w:ascii="Times New Roman" w:eastAsia="Times New Roman" w:hAnsi="Times New Roman" w:cs="Times New Roman"/>
      <w:b/>
      <w:bCs/>
      <w:sz w:val="28"/>
      <w:szCs w:val="24"/>
    </w:rPr>
  </w:style>
  <w:style w:type="character" w:customStyle="1" w:styleId="Heading7Char">
    <w:name w:val="Heading 7 Char"/>
    <w:basedOn w:val="DefaultParagraphFont"/>
    <w:link w:val="Heading7"/>
    <w:semiHidden/>
    <w:rsid w:val="0003629C"/>
    <w:rPr>
      <w:rFonts w:ascii="Times New Roman" w:eastAsia="Times New Roman" w:hAnsi="Times New Roman" w:cs="Times New Roman"/>
      <w:sz w:val="24"/>
      <w:szCs w:val="24"/>
      <w:u w:val="single"/>
    </w:rPr>
  </w:style>
  <w:style w:type="paragraph" w:styleId="BodyText2">
    <w:name w:val="Body Text 2"/>
    <w:basedOn w:val="Normal"/>
    <w:link w:val="BodyText2Char"/>
    <w:unhideWhenUsed/>
    <w:rsid w:val="0003629C"/>
    <w:rPr>
      <w:sz w:val="28"/>
    </w:rPr>
  </w:style>
  <w:style w:type="character" w:customStyle="1" w:styleId="BodyText2Char">
    <w:name w:val="Body Text 2 Char"/>
    <w:basedOn w:val="DefaultParagraphFont"/>
    <w:link w:val="BodyText2"/>
    <w:rsid w:val="0003629C"/>
    <w:rPr>
      <w:rFonts w:ascii="Times New Roman" w:eastAsia="Times New Roman" w:hAnsi="Times New Roman" w:cs="Times New Roman"/>
      <w:sz w:val="28"/>
      <w:szCs w:val="24"/>
    </w:rPr>
  </w:style>
  <w:style w:type="paragraph" w:styleId="ListParagraph">
    <w:name w:val="List Paragraph"/>
    <w:basedOn w:val="Normal"/>
    <w:uiPriority w:val="34"/>
    <w:qFormat/>
    <w:rsid w:val="0003629C"/>
    <w:pPr>
      <w:ind w:left="720"/>
      <w:contextualSpacing/>
    </w:pPr>
  </w:style>
  <w:style w:type="paragraph" w:styleId="BalloonText">
    <w:name w:val="Balloon Text"/>
    <w:basedOn w:val="Normal"/>
    <w:link w:val="BalloonTextChar"/>
    <w:uiPriority w:val="99"/>
    <w:semiHidden/>
    <w:unhideWhenUsed/>
    <w:rsid w:val="0003629C"/>
    <w:rPr>
      <w:rFonts w:ascii="Tahoma" w:hAnsi="Tahoma" w:cs="Tahoma"/>
      <w:sz w:val="16"/>
      <w:szCs w:val="16"/>
    </w:rPr>
  </w:style>
  <w:style w:type="character" w:customStyle="1" w:styleId="BalloonTextChar">
    <w:name w:val="Balloon Text Char"/>
    <w:basedOn w:val="DefaultParagraphFont"/>
    <w:link w:val="BalloonText"/>
    <w:uiPriority w:val="99"/>
    <w:semiHidden/>
    <w:rsid w:val="0003629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730583">
      <w:bodyDiv w:val="1"/>
      <w:marLeft w:val="0"/>
      <w:marRight w:val="0"/>
      <w:marTop w:val="0"/>
      <w:marBottom w:val="0"/>
      <w:divBdr>
        <w:top w:val="none" w:sz="0" w:space="0" w:color="auto"/>
        <w:left w:val="none" w:sz="0" w:space="0" w:color="auto"/>
        <w:bottom w:val="none" w:sz="0" w:space="0" w:color="auto"/>
        <w:right w:val="none" w:sz="0" w:space="0" w:color="auto"/>
      </w:divBdr>
    </w:div>
    <w:div w:id="104275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0.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1926</Words>
  <Characters>10980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Mansfield District Council</Company>
  <LinksUpToDate>false</LinksUpToDate>
  <CharactersWithSpaces>12881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Rodney</dc:creator>
  <cp:lastModifiedBy>Chris Wharton</cp:lastModifiedBy>
  <cp:revision>3</cp:revision>
  <cp:lastPrinted>2019-02-04T12:40:00Z</cp:lastPrinted>
  <dcterms:created xsi:type="dcterms:W3CDTF">2019-02-21T08:41:00Z</dcterms:created>
  <dcterms:modified xsi:type="dcterms:W3CDTF">2019-02-25T11:24:00Z</dcterms:modified>
</cp:coreProperties>
</file>